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E5DD" w14:textId="7C71C7B2" w:rsidR="00B655EB" w:rsidRPr="00247499" w:rsidRDefault="00B655EB" w:rsidP="003A58BA">
      <w:pPr>
        <w:pStyle w:val="Heading3"/>
        <w:spacing w:before="0" w:after="0"/>
        <w:jc w:val="both"/>
        <w:rPr>
          <w:b w:val="0"/>
          <w:sz w:val="32"/>
        </w:rPr>
      </w:pPr>
      <w:r w:rsidRPr="00247499">
        <w:rPr>
          <w:rFonts w:ascii="Times New Roman" w:hAnsi="Times New Roman" w:cs="Times New Roman"/>
          <w:color w:val="000000"/>
          <w:sz w:val="32"/>
          <w:szCs w:val="32"/>
        </w:rPr>
        <w:t>Cabinet for Health and Family Services (CHFS)</w:t>
      </w:r>
      <w:r>
        <w:rPr>
          <w:sz w:val="32"/>
        </w:rPr>
        <w:t xml:space="preserve"> </w:t>
      </w:r>
      <w:r w:rsidRPr="003A58BA">
        <w:rPr>
          <w:rFonts w:ascii="Times New Roman" w:hAnsi="Times New Roman" w:cs="Times New Roman"/>
          <w:color w:val="000000"/>
          <w:sz w:val="32"/>
          <w:szCs w:val="32"/>
        </w:rPr>
        <w:t>Standards</w:t>
      </w:r>
      <w:r w:rsidR="003A58BA" w:rsidRPr="003A58BA">
        <w:rPr>
          <w:rFonts w:ascii="Times New Roman" w:hAnsi="Times New Roman" w:cs="Times New Roman"/>
          <w:color w:val="000000"/>
          <w:sz w:val="32"/>
          <w:szCs w:val="32"/>
        </w:rPr>
        <w:t>:</w:t>
      </w:r>
    </w:p>
    <w:p w14:paraId="4D7E3B8E" w14:textId="77777777" w:rsidR="00B655EB" w:rsidRPr="00C84C07" w:rsidRDefault="00B655EB" w:rsidP="00722C80">
      <w:pPr>
        <w:jc w:val="both"/>
        <w:rPr>
          <w:b/>
          <w:bCs/>
          <w:sz w:val="32"/>
        </w:rPr>
      </w:pPr>
    </w:p>
    <w:p w14:paraId="7EBFA28E" w14:textId="77777777" w:rsidR="007B062D" w:rsidRPr="006746E3" w:rsidRDefault="00C84C07" w:rsidP="00722C80">
      <w:pPr>
        <w:jc w:val="both"/>
        <w:rPr>
          <w:b/>
          <w:sz w:val="28"/>
          <w:szCs w:val="28"/>
        </w:rPr>
      </w:pPr>
      <w:r w:rsidRPr="006746E3">
        <w:rPr>
          <w:b/>
          <w:sz w:val="28"/>
          <w:szCs w:val="28"/>
        </w:rPr>
        <w:t>Category</w:t>
      </w:r>
      <w:r w:rsidR="00AC3802" w:rsidRPr="006746E3">
        <w:rPr>
          <w:b/>
          <w:sz w:val="28"/>
          <w:szCs w:val="28"/>
        </w:rPr>
        <w:t xml:space="preserve"> 6000 -</w:t>
      </w:r>
      <w:r w:rsidR="007B062D" w:rsidRPr="006746E3">
        <w:rPr>
          <w:b/>
          <w:sz w:val="28"/>
          <w:szCs w:val="28"/>
        </w:rPr>
        <w:t xml:space="preserve"> </w:t>
      </w:r>
      <w:r w:rsidR="00AC3802" w:rsidRPr="006746E3">
        <w:rPr>
          <w:b/>
          <w:sz w:val="28"/>
          <w:szCs w:val="28"/>
        </w:rPr>
        <w:t>Systems Management Domain</w:t>
      </w:r>
    </w:p>
    <w:p w14:paraId="18CC17FA" w14:textId="77777777" w:rsidR="007B062D" w:rsidRPr="00B655EB" w:rsidRDefault="007B062D" w:rsidP="00722C80">
      <w:pPr>
        <w:jc w:val="both"/>
        <w:rPr>
          <w:b/>
        </w:rPr>
      </w:pPr>
    </w:p>
    <w:p w14:paraId="68C084FF" w14:textId="77777777" w:rsidR="007B062D" w:rsidRPr="00C84C07" w:rsidRDefault="00AC3802" w:rsidP="00722C80">
      <w:pPr>
        <w:jc w:val="both"/>
        <w:rPr>
          <w:bCs/>
          <w:sz w:val="28"/>
          <w:szCs w:val="28"/>
        </w:rPr>
      </w:pPr>
      <w:bookmarkStart w:id="0" w:name="_Toc391891240"/>
      <w:bookmarkStart w:id="1" w:name="_Toc392311991"/>
      <w:bookmarkStart w:id="2" w:name="_Toc392312102"/>
      <w:bookmarkStart w:id="3" w:name="_Toc392312898"/>
      <w:bookmarkStart w:id="4" w:name="_Toc392314632"/>
      <w:bookmarkStart w:id="5" w:name="_Toc392315289"/>
      <w:bookmarkStart w:id="6" w:name="_Toc404418948"/>
      <w:bookmarkStart w:id="7" w:name="_Toc405606246"/>
      <w:bookmarkStart w:id="8" w:name="_Toc405707404"/>
      <w:bookmarkStart w:id="9" w:name="_Toc406304623"/>
      <w:bookmarkStart w:id="10" w:name="_Toc406387438"/>
      <w:bookmarkStart w:id="11" w:name="_Toc406992261"/>
      <w:bookmarkStart w:id="12" w:name="_Toc406995080"/>
      <w:bookmarkStart w:id="13" w:name="_Toc406995706"/>
      <w:bookmarkStart w:id="14" w:name="_Toc406996150"/>
      <w:bookmarkStart w:id="15" w:name="_Toc406996279"/>
      <w:bookmarkStart w:id="16" w:name="_Toc406996338"/>
      <w:bookmarkStart w:id="17" w:name="_Toc406996713"/>
      <w:bookmarkStart w:id="18" w:name="_Toc407510914"/>
      <w:bookmarkStart w:id="19" w:name="_Toc407511108"/>
      <w:bookmarkStart w:id="20" w:name="_Toc407521078"/>
      <w:bookmarkStart w:id="21" w:name="_Toc407521233"/>
      <w:bookmarkStart w:id="22" w:name="_Toc407521317"/>
      <w:bookmarkStart w:id="23" w:name="_Toc407526912"/>
      <w:bookmarkStart w:id="24" w:name="_Toc407527099"/>
      <w:bookmarkStart w:id="25" w:name="_Toc407527655"/>
      <w:bookmarkStart w:id="26" w:name="_Toc407527791"/>
      <w:bookmarkStart w:id="27" w:name="_Toc413807923"/>
      <w:bookmarkStart w:id="28" w:name="_Toc413808377"/>
      <w:bookmarkStart w:id="29" w:name="_Toc413811188"/>
      <w:bookmarkStart w:id="30" w:name="_Toc415455977"/>
      <w:bookmarkStart w:id="31" w:name="_Toc415456055"/>
      <w:bookmarkStart w:id="32" w:name="_Toc415460188"/>
      <w:bookmarkStart w:id="33" w:name="_Toc415460612"/>
      <w:bookmarkStart w:id="34" w:name="_Toc509644188"/>
      <w:r w:rsidRPr="00C84C07">
        <w:rPr>
          <w:b/>
          <w:bCs/>
          <w:sz w:val="28"/>
          <w:szCs w:val="28"/>
        </w:rPr>
        <w:t>6100</w:t>
      </w:r>
      <w:r w:rsidR="007B062D" w:rsidRPr="00C84C07">
        <w:rPr>
          <w:b/>
          <w:bCs/>
          <w:sz w:val="28"/>
          <w:szCs w:val="28"/>
        </w:rPr>
        <w:t xml:space="preserve"> </w:t>
      </w:r>
      <w:r w:rsidRPr="00C84C07">
        <w:rPr>
          <w:b/>
          <w:bCs/>
          <w:sz w:val="28"/>
          <w:szCs w:val="28"/>
        </w:rPr>
        <w:t xml:space="preserve">– </w:t>
      </w:r>
      <w:r w:rsidR="007B062D" w:rsidRPr="00C84C07">
        <w:rPr>
          <w:b/>
          <w:bCs/>
          <w:sz w:val="28"/>
          <w:szCs w:val="28"/>
        </w:rPr>
        <w:t>Backup</w:t>
      </w:r>
      <w:r w:rsidRPr="00C84C07">
        <w:rPr>
          <w:b/>
          <w:bCs/>
          <w:sz w:val="28"/>
          <w:szCs w:val="28"/>
        </w:rPr>
        <w:t xml:space="preserve"> </w:t>
      </w:r>
      <w:r w:rsidR="002A2882">
        <w:rPr>
          <w:b/>
          <w:bCs/>
          <w:sz w:val="28"/>
          <w:szCs w:val="28"/>
        </w:rPr>
        <w:t xml:space="preserve">and </w:t>
      </w:r>
      <w:r w:rsidRPr="00C84C07">
        <w:rPr>
          <w:b/>
          <w:bCs/>
          <w:sz w:val="28"/>
          <w:szCs w:val="28"/>
        </w:rPr>
        <w:t>R</w:t>
      </w:r>
      <w:r w:rsidR="00C84C07">
        <w:rPr>
          <w:b/>
          <w:bCs/>
          <w:sz w:val="28"/>
          <w:szCs w:val="28"/>
        </w:rPr>
        <w:t>ecovery</w:t>
      </w:r>
      <w:r w:rsidR="007B062D" w:rsidRPr="00C84C07">
        <w:rPr>
          <w:b/>
          <w:bCs/>
          <w:sz w:val="28"/>
          <w:szCs w:val="28"/>
        </w:rPr>
        <w:t xml:space="preserve">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r w:rsidR="00C84C07" w:rsidRPr="00C84C07">
        <w:rPr>
          <w:bCs/>
          <w:sz w:val="28"/>
          <w:szCs w:val="28"/>
        </w:rPr>
        <w:t>(</w:t>
      </w:r>
      <w:r w:rsidR="00C84C07">
        <w:rPr>
          <w:bCs/>
          <w:sz w:val="28"/>
          <w:szCs w:val="28"/>
        </w:rPr>
        <w:t>formerly CHFS# 021.001)</w:t>
      </w:r>
    </w:p>
    <w:p w14:paraId="3CBB06CD" w14:textId="77777777" w:rsidR="00C84C07" w:rsidRDefault="00C84C07" w:rsidP="00722C80">
      <w:pPr>
        <w:jc w:val="both"/>
        <w:rPr>
          <w:b/>
          <w:sz w:val="24"/>
          <w:szCs w:val="24"/>
        </w:rPr>
      </w:pPr>
    </w:p>
    <w:p w14:paraId="6E00A9FB" w14:textId="77777777" w:rsidR="00AC3802" w:rsidRPr="00C84C07" w:rsidRDefault="00AC3802" w:rsidP="00722C80">
      <w:pPr>
        <w:jc w:val="both"/>
        <w:rPr>
          <w:b/>
          <w:sz w:val="24"/>
          <w:szCs w:val="24"/>
        </w:rPr>
      </w:pPr>
      <w:r w:rsidRPr="00C84C07">
        <w:rPr>
          <w:b/>
          <w:sz w:val="24"/>
          <w:szCs w:val="24"/>
        </w:rPr>
        <w:t>Definition:</w:t>
      </w:r>
    </w:p>
    <w:p w14:paraId="2A85F546" w14:textId="77777777" w:rsidR="002D0B58" w:rsidRDefault="00B811EF" w:rsidP="00722C80">
      <w:pPr>
        <w:jc w:val="both"/>
        <w:rPr>
          <w:caps/>
          <w:sz w:val="24"/>
          <w:szCs w:val="24"/>
        </w:rPr>
      </w:pPr>
      <w:r w:rsidRPr="00B811EF">
        <w:rPr>
          <w:sz w:val="24"/>
          <w:szCs w:val="24"/>
        </w:rPr>
        <w:t>As per COT Standard</w:t>
      </w:r>
      <w:r w:rsidRPr="00D95AAF">
        <w:rPr>
          <w:b/>
          <w:caps/>
          <w:sz w:val="24"/>
          <w:szCs w:val="24"/>
        </w:rPr>
        <w:t xml:space="preserve"> #</w:t>
      </w:r>
      <w:r w:rsidRPr="00B811EF">
        <w:rPr>
          <w:caps/>
          <w:sz w:val="24"/>
          <w:szCs w:val="24"/>
        </w:rPr>
        <w:t>6100</w:t>
      </w:r>
      <w:r w:rsidR="002D0B58">
        <w:rPr>
          <w:caps/>
          <w:sz w:val="24"/>
          <w:szCs w:val="24"/>
        </w:rPr>
        <w:t>:</w:t>
      </w:r>
    </w:p>
    <w:p w14:paraId="7D8A20BC" w14:textId="4D58591D" w:rsidR="00AC3802" w:rsidRDefault="004560AA" w:rsidP="00722C80">
      <w:pPr>
        <w:pStyle w:val="TOC2"/>
        <w:jc w:val="both"/>
        <w:rPr>
          <w:rFonts w:ascii="Calibri" w:hAnsi="Calibri" w:cs="Calibri"/>
          <w:snapToGrid/>
          <w:sz w:val="18"/>
          <w:szCs w:val="18"/>
        </w:rPr>
      </w:pPr>
      <w:r>
        <w:rPr>
          <w:rFonts w:ascii="Calibri" w:hAnsi="Calibri" w:cs="Calibri"/>
          <w:snapToGrid/>
          <w:sz w:val="18"/>
          <w:szCs w:val="18"/>
        </w:rPr>
        <w:t>Software that creates copies of data which may be used to restore the original after a data loss event or to restore and stabilize data sets to a consistent, desired state.</w:t>
      </w:r>
    </w:p>
    <w:p w14:paraId="515F8A4C" w14:textId="77777777" w:rsidR="00ED0640" w:rsidRPr="002E58F3" w:rsidRDefault="00ED0640" w:rsidP="002E58F3"/>
    <w:p w14:paraId="3716CC33" w14:textId="77777777" w:rsidR="00AC3802" w:rsidRPr="00C84C07" w:rsidRDefault="00AC3802" w:rsidP="00722C80">
      <w:pPr>
        <w:jc w:val="both"/>
        <w:rPr>
          <w:b/>
          <w:sz w:val="24"/>
          <w:szCs w:val="24"/>
        </w:rPr>
      </w:pPr>
      <w:r w:rsidRPr="00C84C07">
        <w:rPr>
          <w:b/>
          <w:sz w:val="24"/>
          <w:szCs w:val="24"/>
        </w:rPr>
        <w:t>Rationale:</w:t>
      </w:r>
    </w:p>
    <w:p w14:paraId="00A49CC5" w14:textId="77777777" w:rsidR="002D0B58" w:rsidRDefault="00B811EF" w:rsidP="00722C80">
      <w:pPr>
        <w:jc w:val="both"/>
        <w:rPr>
          <w:b/>
          <w:caps/>
          <w:sz w:val="24"/>
          <w:szCs w:val="24"/>
        </w:rPr>
      </w:pPr>
      <w:r w:rsidRPr="00B811EF">
        <w:rPr>
          <w:sz w:val="24"/>
          <w:szCs w:val="24"/>
        </w:rPr>
        <w:t>As per COT Standard</w:t>
      </w:r>
      <w:r w:rsidRPr="00D95AAF">
        <w:rPr>
          <w:b/>
          <w:caps/>
          <w:sz w:val="24"/>
          <w:szCs w:val="24"/>
        </w:rPr>
        <w:t xml:space="preserve"> #</w:t>
      </w:r>
      <w:r w:rsidRPr="00B811EF">
        <w:rPr>
          <w:caps/>
          <w:sz w:val="24"/>
          <w:szCs w:val="24"/>
        </w:rPr>
        <w:t>6100</w:t>
      </w:r>
      <w:r w:rsidR="002D0B58">
        <w:rPr>
          <w:b/>
          <w:caps/>
          <w:sz w:val="24"/>
          <w:szCs w:val="24"/>
        </w:rPr>
        <w:t>:</w:t>
      </w:r>
    </w:p>
    <w:p w14:paraId="461ED5AF" w14:textId="77777777" w:rsidR="00AC3802" w:rsidRPr="002D0B58" w:rsidRDefault="00AC3802" w:rsidP="002D0B58">
      <w:pPr>
        <w:ind w:left="720" w:right="792"/>
        <w:jc w:val="both"/>
        <w:rPr>
          <w:i/>
          <w:sz w:val="24"/>
          <w:szCs w:val="24"/>
        </w:rPr>
      </w:pPr>
      <w:r w:rsidRPr="002D0B58">
        <w:rPr>
          <w:i/>
          <w:sz w:val="24"/>
          <w:szCs w:val="24"/>
        </w:rPr>
        <w:t xml:space="preserve">It is recommended that all critical data be stored on file servers rather than individual workstations.  </w:t>
      </w:r>
      <w:proofErr w:type="gramStart"/>
      <w:r w:rsidRPr="002D0B58">
        <w:rPr>
          <w:i/>
          <w:sz w:val="24"/>
          <w:szCs w:val="24"/>
        </w:rPr>
        <w:t>In order to</w:t>
      </w:r>
      <w:proofErr w:type="gramEnd"/>
      <w:r w:rsidRPr="002D0B58">
        <w:rPr>
          <w:i/>
          <w:sz w:val="24"/>
          <w:szCs w:val="24"/>
        </w:rPr>
        <w:t xml:space="preserve"> keep this critical data safe, backup software and hardware are installed to keep copies of all critical data in the event of server failure.  If a server fails, then the backup copy can be restored to the server with little or no loss of data. Solutions and products must be available for workgroup backup/recovery, in storage area network (</w:t>
      </w:r>
      <w:smartTag w:uri="urn:schemas-microsoft-com:office:smarttags" w:element="stockticker">
        <w:r w:rsidRPr="002D0B58">
          <w:rPr>
            <w:i/>
            <w:sz w:val="24"/>
            <w:szCs w:val="24"/>
          </w:rPr>
          <w:t>SAN</w:t>
        </w:r>
      </w:smartTag>
      <w:r w:rsidRPr="002D0B58">
        <w:rPr>
          <w:i/>
          <w:sz w:val="24"/>
          <w:szCs w:val="24"/>
        </w:rPr>
        <w:t xml:space="preserve">) installations, as well as enterprise-class options. Enterprise-wide backup, archiving, storage </w:t>
      </w:r>
      <w:r w:rsidR="002D0B58" w:rsidRPr="002D0B58">
        <w:rPr>
          <w:i/>
          <w:sz w:val="24"/>
          <w:szCs w:val="24"/>
        </w:rPr>
        <w:t>management</w:t>
      </w:r>
      <w:r w:rsidRPr="002D0B58">
        <w:rPr>
          <w:i/>
          <w:sz w:val="24"/>
          <w:szCs w:val="24"/>
        </w:rPr>
        <w:t xml:space="preserve"> and disaster recovery capabilities services for mixed hardware platforms is an option. This approach provides the ability to backup and restore data across the network to a central location at the </w:t>
      </w:r>
      <w:smartTag w:uri="urn:schemas-microsoft-com:office:smarttags" w:element="place">
        <w:smartTag w:uri="urn:schemas-microsoft-com:office:smarttags" w:element="PlaceType">
          <w:r w:rsidRPr="002D0B58">
            <w:rPr>
              <w:i/>
              <w:sz w:val="24"/>
              <w:szCs w:val="24"/>
            </w:rPr>
            <w:t>Commonwealth</w:t>
          </w:r>
        </w:smartTag>
        <w:r w:rsidRPr="002D0B58">
          <w:rPr>
            <w:i/>
            <w:sz w:val="24"/>
            <w:szCs w:val="24"/>
          </w:rPr>
          <w:t xml:space="preserve"> </w:t>
        </w:r>
        <w:smartTag w:uri="urn:schemas-microsoft-com:office:smarttags" w:element="PlaceName">
          <w:r w:rsidRPr="002D0B58">
            <w:rPr>
              <w:i/>
              <w:sz w:val="24"/>
              <w:szCs w:val="24"/>
            </w:rPr>
            <w:t>Data</w:t>
          </w:r>
        </w:smartTag>
        <w:r w:rsidRPr="002D0B58">
          <w:rPr>
            <w:i/>
            <w:sz w:val="24"/>
            <w:szCs w:val="24"/>
          </w:rPr>
          <w:t xml:space="preserve"> </w:t>
        </w:r>
        <w:smartTag w:uri="urn:schemas-microsoft-com:office:smarttags" w:element="PlaceType">
          <w:r w:rsidRPr="002D0B58">
            <w:rPr>
              <w:i/>
              <w:sz w:val="24"/>
              <w:szCs w:val="24"/>
            </w:rPr>
            <w:t>Center</w:t>
          </w:r>
        </w:smartTag>
      </w:smartTag>
      <w:r w:rsidRPr="002D0B58">
        <w:rPr>
          <w:i/>
          <w:sz w:val="24"/>
          <w:szCs w:val="24"/>
        </w:rPr>
        <w:t>.</w:t>
      </w:r>
    </w:p>
    <w:p w14:paraId="27F8632F" w14:textId="77777777" w:rsidR="00AC3802" w:rsidRPr="00C84C07" w:rsidRDefault="00AC3802" w:rsidP="00722C80">
      <w:pPr>
        <w:jc w:val="both"/>
        <w:rPr>
          <w:sz w:val="24"/>
          <w:szCs w:val="24"/>
        </w:rPr>
      </w:pPr>
    </w:p>
    <w:p w14:paraId="7F01C163" w14:textId="77777777" w:rsidR="00AC3802" w:rsidRPr="00C84C07" w:rsidRDefault="00AC3802" w:rsidP="00722C80">
      <w:pPr>
        <w:jc w:val="both"/>
        <w:rPr>
          <w:b/>
          <w:sz w:val="24"/>
          <w:szCs w:val="24"/>
        </w:rPr>
      </w:pPr>
      <w:r w:rsidRPr="00C84C07">
        <w:rPr>
          <w:b/>
          <w:sz w:val="24"/>
          <w:szCs w:val="24"/>
        </w:rPr>
        <w:t>Approved Standard(s)</w:t>
      </w:r>
      <w:r w:rsidR="00382DAA">
        <w:rPr>
          <w:b/>
          <w:sz w:val="24"/>
          <w:szCs w:val="24"/>
        </w:rPr>
        <w:t xml:space="preserve"> for </w:t>
      </w:r>
      <w:r w:rsidR="00205C59" w:rsidRPr="00205C59">
        <w:rPr>
          <w:b/>
          <w:sz w:val="24"/>
          <w:szCs w:val="24"/>
        </w:rPr>
        <w:t>New Applications:</w:t>
      </w:r>
    </w:p>
    <w:p w14:paraId="0164DF77" w14:textId="77777777" w:rsidR="002D0B58" w:rsidRDefault="00B811EF" w:rsidP="00722C80">
      <w:pPr>
        <w:pStyle w:val="TOC2"/>
        <w:jc w:val="both"/>
        <w:rPr>
          <w:caps/>
          <w:sz w:val="24"/>
          <w:szCs w:val="24"/>
        </w:rPr>
      </w:pPr>
      <w:r w:rsidRPr="00B811EF">
        <w:rPr>
          <w:sz w:val="24"/>
          <w:szCs w:val="24"/>
        </w:rPr>
        <w:t>As per COT Standard</w:t>
      </w:r>
      <w:r w:rsidRPr="00D95AAF">
        <w:rPr>
          <w:b/>
          <w:caps/>
          <w:sz w:val="24"/>
          <w:szCs w:val="24"/>
        </w:rPr>
        <w:t xml:space="preserve"> #</w:t>
      </w:r>
      <w:r w:rsidRPr="00B811EF">
        <w:rPr>
          <w:caps/>
          <w:sz w:val="24"/>
          <w:szCs w:val="24"/>
        </w:rPr>
        <w:t>6100</w:t>
      </w:r>
      <w:r w:rsidR="002D0B58">
        <w:rPr>
          <w:caps/>
          <w:sz w:val="24"/>
          <w:szCs w:val="24"/>
        </w:rPr>
        <w:t>:</w:t>
      </w:r>
    </w:p>
    <w:p w14:paraId="15DD8C4F" w14:textId="77777777" w:rsidR="00AC3802" w:rsidRPr="002D0B58" w:rsidRDefault="00AC3802" w:rsidP="002D0B58">
      <w:pPr>
        <w:pStyle w:val="TOC2"/>
        <w:ind w:left="720" w:right="792"/>
        <w:jc w:val="both"/>
        <w:rPr>
          <w:i/>
          <w:sz w:val="24"/>
          <w:szCs w:val="24"/>
        </w:rPr>
      </w:pPr>
      <w:r w:rsidRPr="002D0B58">
        <w:rPr>
          <w:i/>
          <w:sz w:val="24"/>
          <w:szCs w:val="24"/>
        </w:rPr>
        <w:t>For workgroup solutions, must be supported by the enterprise approved hardware products for tape backup (COT category 1800).</w:t>
      </w:r>
    </w:p>
    <w:p w14:paraId="6F5C6F64" w14:textId="77777777" w:rsidR="00B811EF" w:rsidRPr="002D0B58" w:rsidRDefault="00B811EF" w:rsidP="002D0B58">
      <w:pPr>
        <w:ind w:left="720" w:right="792"/>
        <w:jc w:val="both"/>
        <w:rPr>
          <w:i/>
        </w:rPr>
      </w:pPr>
    </w:p>
    <w:p w14:paraId="482A399D" w14:textId="77777777" w:rsidR="00AC3802" w:rsidRPr="002D0B58" w:rsidRDefault="00AC3802" w:rsidP="002D0B58">
      <w:pPr>
        <w:ind w:left="720" w:right="792"/>
        <w:jc w:val="both"/>
        <w:rPr>
          <w:i/>
          <w:sz w:val="24"/>
          <w:szCs w:val="24"/>
        </w:rPr>
      </w:pPr>
      <w:r w:rsidRPr="002D0B58">
        <w:rPr>
          <w:i/>
          <w:sz w:val="24"/>
          <w:szCs w:val="24"/>
        </w:rPr>
        <w:t>Compatible with approved server and desktop workstation operating systems, network protocols, network topology and</w:t>
      </w:r>
      <w:r w:rsidR="002D0B58" w:rsidRPr="002D0B58">
        <w:rPr>
          <w:i/>
          <w:sz w:val="24"/>
          <w:szCs w:val="24"/>
        </w:rPr>
        <w:t xml:space="preserve"> database management software.</w:t>
      </w:r>
    </w:p>
    <w:p w14:paraId="16F11C05" w14:textId="77777777" w:rsidR="00AC3802" w:rsidRPr="00C84C07" w:rsidRDefault="00AC3802" w:rsidP="00722C80">
      <w:pPr>
        <w:pStyle w:val="TOC2"/>
        <w:jc w:val="both"/>
        <w:rPr>
          <w:sz w:val="24"/>
          <w:szCs w:val="24"/>
        </w:rPr>
      </w:pPr>
    </w:p>
    <w:p w14:paraId="66B2C5FB" w14:textId="66FB73FA" w:rsidR="004560AA" w:rsidRDefault="004560AA" w:rsidP="000C01BD">
      <w:pPr>
        <w:jc w:val="both"/>
        <w:rPr>
          <w:rFonts w:ascii="Calibri" w:hAnsi="Calibri" w:cs="Calibri"/>
          <w:snapToGrid/>
          <w:sz w:val="18"/>
          <w:szCs w:val="18"/>
        </w:rPr>
      </w:pPr>
    </w:p>
    <w:p w14:paraId="3ACCB971" w14:textId="1BE97824" w:rsidR="00511314" w:rsidRPr="00C84C07" w:rsidRDefault="00511314" w:rsidP="00511314">
      <w:pPr>
        <w:jc w:val="both"/>
        <w:rPr>
          <w:b/>
          <w:sz w:val="24"/>
          <w:szCs w:val="24"/>
        </w:rPr>
      </w:pPr>
      <w:r w:rsidRPr="00C84C07">
        <w:rPr>
          <w:b/>
          <w:sz w:val="24"/>
          <w:szCs w:val="24"/>
        </w:rPr>
        <w:t>Approved Product(s)</w:t>
      </w:r>
      <w:r>
        <w:rPr>
          <w:b/>
          <w:sz w:val="24"/>
          <w:szCs w:val="24"/>
        </w:rPr>
        <w:t>, BHDID only</w:t>
      </w:r>
      <w:r w:rsidRPr="00205C59">
        <w:rPr>
          <w:b/>
          <w:sz w:val="24"/>
          <w:szCs w:val="24"/>
        </w:rPr>
        <w:t>:</w:t>
      </w:r>
    </w:p>
    <w:p w14:paraId="5AF304C8" w14:textId="77777777" w:rsidR="00AC3802" w:rsidRPr="00A84A0E" w:rsidRDefault="00AC3802" w:rsidP="00722C80">
      <w:pPr>
        <w:numPr>
          <w:ilvl w:val="0"/>
          <w:numId w:val="3"/>
        </w:numPr>
        <w:jc w:val="both"/>
        <w:rPr>
          <w:sz w:val="24"/>
          <w:szCs w:val="24"/>
          <w:u w:val="single"/>
        </w:rPr>
      </w:pPr>
      <w:r w:rsidRPr="00722C80">
        <w:rPr>
          <w:sz w:val="24"/>
          <w:szCs w:val="24"/>
        </w:rPr>
        <w:t>Veritas Backup Exec and NetBackup</w:t>
      </w:r>
      <w:r w:rsidRPr="00C84C07">
        <w:rPr>
          <w:sz w:val="24"/>
          <w:szCs w:val="24"/>
        </w:rPr>
        <w:t xml:space="preserve"> - workgroup editions</w:t>
      </w:r>
    </w:p>
    <w:p w14:paraId="380B599A" w14:textId="77777777" w:rsidR="00511314" w:rsidRDefault="00511314" w:rsidP="00511314">
      <w:pPr>
        <w:jc w:val="both"/>
        <w:rPr>
          <w:b/>
          <w:sz w:val="24"/>
          <w:szCs w:val="24"/>
        </w:rPr>
      </w:pPr>
    </w:p>
    <w:p w14:paraId="267946D5" w14:textId="77777777" w:rsidR="00511314" w:rsidRPr="00C84C07" w:rsidRDefault="00511314" w:rsidP="00511314">
      <w:pPr>
        <w:jc w:val="both"/>
        <w:rPr>
          <w:b/>
          <w:sz w:val="24"/>
          <w:szCs w:val="24"/>
        </w:rPr>
      </w:pPr>
      <w:r w:rsidRPr="00C84C07">
        <w:rPr>
          <w:b/>
          <w:sz w:val="24"/>
          <w:szCs w:val="24"/>
        </w:rPr>
        <w:t>Approved Product(s)</w:t>
      </w:r>
      <w:r>
        <w:rPr>
          <w:b/>
          <w:sz w:val="24"/>
          <w:szCs w:val="24"/>
        </w:rPr>
        <w:t xml:space="preserve"> </w:t>
      </w:r>
      <w:r w:rsidRPr="00205C59">
        <w:rPr>
          <w:b/>
          <w:sz w:val="24"/>
          <w:szCs w:val="24"/>
        </w:rPr>
        <w:t xml:space="preserve">for </w:t>
      </w:r>
      <w:r>
        <w:rPr>
          <w:b/>
          <w:sz w:val="24"/>
          <w:szCs w:val="24"/>
        </w:rPr>
        <w:t>all other areas</w:t>
      </w:r>
      <w:r w:rsidRPr="00205C59">
        <w:rPr>
          <w:b/>
          <w:sz w:val="24"/>
          <w:szCs w:val="24"/>
        </w:rPr>
        <w:t>:</w:t>
      </w:r>
    </w:p>
    <w:p w14:paraId="11EE1912" w14:textId="37B62E38" w:rsidR="000C01BD" w:rsidRDefault="000C01BD" w:rsidP="00511314">
      <w:pPr>
        <w:numPr>
          <w:ilvl w:val="0"/>
          <w:numId w:val="3"/>
        </w:num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OwnBackup</w:t>
      </w:r>
      <w:proofErr w:type="spellEnd"/>
      <w:r>
        <w:rPr>
          <w:sz w:val="24"/>
          <w:szCs w:val="24"/>
        </w:rPr>
        <w:t xml:space="preserve"> for Salesforce</w:t>
      </w:r>
    </w:p>
    <w:p w14:paraId="1529B7CA" w14:textId="77777777" w:rsidR="00AC3802" w:rsidRPr="00C84C07" w:rsidRDefault="00AC3802" w:rsidP="00722C80">
      <w:pPr>
        <w:jc w:val="both"/>
        <w:rPr>
          <w:b/>
          <w:sz w:val="24"/>
          <w:szCs w:val="24"/>
        </w:rPr>
      </w:pPr>
    </w:p>
    <w:p w14:paraId="052F3A1D" w14:textId="77777777" w:rsidR="00AC3802" w:rsidRPr="00BA233B" w:rsidRDefault="00AC3802" w:rsidP="00722C80">
      <w:pPr>
        <w:jc w:val="both"/>
        <w:rPr>
          <w:sz w:val="24"/>
          <w:szCs w:val="24"/>
        </w:rPr>
      </w:pPr>
    </w:p>
    <w:p w14:paraId="7FD5189D" w14:textId="77777777" w:rsidR="00BA233B" w:rsidRPr="00BA233B" w:rsidRDefault="00BA233B" w:rsidP="00BA233B">
      <w:pPr>
        <w:rPr>
          <w:b/>
          <w:sz w:val="24"/>
          <w:szCs w:val="24"/>
        </w:rPr>
      </w:pPr>
      <w:r w:rsidRPr="00BA233B">
        <w:rPr>
          <w:b/>
          <w:sz w:val="24"/>
          <w:szCs w:val="24"/>
        </w:rPr>
        <w:t>Exceptions:</w:t>
      </w:r>
    </w:p>
    <w:p w14:paraId="2D1E3413" w14:textId="77777777" w:rsidR="00BA233B" w:rsidRPr="00BA233B" w:rsidRDefault="00BA233B" w:rsidP="00BA233B">
      <w:pPr>
        <w:rPr>
          <w:sz w:val="24"/>
          <w:szCs w:val="24"/>
        </w:rPr>
      </w:pPr>
      <w:r w:rsidRPr="00BA233B">
        <w:rPr>
          <w:sz w:val="24"/>
          <w:szCs w:val="24"/>
        </w:rPr>
        <w:t>Any exceptions to this standard must follow the procedures established in CHFS IT Policy #070.203.</w:t>
      </w:r>
    </w:p>
    <w:p w14:paraId="7AC08C40" w14:textId="77777777" w:rsidR="00BA233B" w:rsidRPr="00330F9A" w:rsidRDefault="00BA233B" w:rsidP="00BA233B">
      <w:pPr>
        <w:rPr>
          <w:b/>
          <w:sz w:val="24"/>
          <w:szCs w:val="24"/>
        </w:rPr>
      </w:pPr>
    </w:p>
    <w:p w14:paraId="47D15ACD" w14:textId="77777777" w:rsidR="00330F9A" w:rsidRPr="00330F9A" w:rsidRDefault="00330F9A" w:rsidP="00330F9A">
      <w:pPr>
        <w:rPr>
          <w:b/>
          <w:sz w:val="24"/>
          <w:szCs w:val="24"/>
        </w:rPr>
      </w:pPr>
      <w:r w:rsidRPr="00330F9A">
        <w:rPr>
          <w:b/>
          <w:sz w:val="24"/>
          <w:szCs w:val="24"/>
        </w:rPr>
        <w:t>Review Cycle:</w:t>
      </w:r>
    </w:p>
    <w:p w14:paraId="45954583" w14:textId="77777777" w:rsidR="00330F9A" w:rsidRPr="00330F9A" w:rsidRDefault="00330F9A" w:rsidP="00330F9A">
      <w:pPr>
        <w:rPr>
          <w:sz w:val="24"/>
          <w:szCs w:val="24"/>
        </w:rPr>
      </w:pPr>
      <w:r w:rsidRPr="00330F9A">
        <w:rPr>
          <w:sz w:val="24"/>
          <w:szCs w:val="24"/>
        </w:rPr>
        <w:t>Annually</w:t>
      </w:r>
    </w:p>
    <w:p w14:paraId="0A9880AB" w14:textId="77777777" w:rsidR="00330F9A" w:rsidRPr="00330F9A" w:rsidRDefault="00330F9A" w:rsidP="00330F9A">
      <w:pPr>
        <w:rPr>
          <w:sz w:val="24"/>
          <w:szCs w:val="24"/>
        </w:rPr>
      </w:pPr>
    </w:p>
    <w:p w14:paraId="178CDDF1" w14:textId="77777777" w:rsidR="00AE7FD8" w:rsidRPr="005E1323" w:rsidRDefault="00AE7FD8" w:rsidP="00AE7FD8">
      <w:pPr>
        <w:rPr>
          <w:b/>
          <w:snapToGrid/>
          <w:sz w:val="24"/>
        </w:rPr>
      </w:pPr>
      <w:r w:rsidRPr="005E1323">
        <w:rPr>
          <w:b/>
          <w:snapToGrid/>
          <w:sz w:val="24"/>
        </w:rPr>
        <w:t>Timeline:</w:t>
      </w:r>
    </w:p>
    <w:p w14:paraId="122B1469" w14:textId="189CFAD1" w:rsidR="00AE7FD8" w:rsidRDefault="00AE7FD8" w:rsidP="00AE7FD8">
      <w:pPr>
        <w:pStyle w:val="BodyText"/>
        <w:spacing w:after="0"/>
        <w:jc w:val="both"/>
        <w:rPr>
          <w:szCs w:val="24"/>
        </w:rPr>
      </w:pPr>
      <w:r w:rsidRPr="003860D1">
        <w:rPr>
          <w:szCs w:val="24"/>
        </w:rPr>
        <w:t>Last reviewed:</w:t>
      </w:r>
      <w:r w:rsidRPr="003860D1">
        <w:rPr>
          <w:szCs w:val="24"/>
        </w:rPr>
        <w:tab/>
      </w:r>
      <w:r w:rsidRPr="003860D1">
        <w:rPr>
          <w:szCs w:val="24"/>
        </w:rPr>
        <w:tab/>
      </w:r>
      <w:r w:rsidR="007410CF">
        <w:rPr>
          <w:szCs w:val="24"/>
        </w:rPr>
        <w:t>5</w:t>
      </w:r>
      <w:r w:rsidRPr="003860D1">
        <w:rPr>
          <w:szCs w:val="24"/>
        </w:rPr>
        <w:t>/</w:t>
      </w:r>
      <w:r w:rsidR="007410CF">
        <w:rPr>
          <w:szCs w:val="24"/>
        </w:rPr>
        <w:t>3</w:t>
      </w:r>
      <w:r w:rsidR="00067B75">
        <w:rPr>
          <w:szCs w:val="24"/>
        </w:rPr>
        <w:t>1</w:t>
      </w:r>
      <w:r w:rsidRPr="003860D1">
        <w:rPr>
          <w:szCs w:val="24"/>
        </w:rPr>
        <w:t>/</w:t>
      </w:r>
      <w:r w:rsidR="000C01BD">
        <w:rPr>
          <w:szCs w:val="24"/>
        </w:rPr>
        <w:t>2</w:t>
      </w:r>
      <w:r w:rsidR="007410CF">
        <w:rPr>
          <w:szCs w:val="24"/>
        </w:rPr>
        <w:t>4</w:t>
      </w:r>
    </w:p>
    <w:p w14:paraId="19BAB9EB" w14:textId="594ED886" w:rsidR="00AE7FD8" w:rsidRDefault="00AE7FD8" w:rsidP="00AE7FD8">
      <w:pPr>
        <w:pStyle w:val="BodyText"/>
        <w:spacing w:after="0"/>
        <w:jc w:val="both"/>
        <w:rPr>
          <w:szCs w:val="24"/>
        </w:rPr>
      </w:pPr>
      <w:r w:rsidRPr="003860D1">
        <w:rPr>
          <w:szCs w:val="24"/>
        </w:rPr>
        <w:t xml:space="preserve">Next review:  </w:t>
      </w:r>
      <w:r w:rsidRPr="003860D1">
        <w:rPr>
          <w:szCs w:val="24"/>
        </w:rPr>
        <w:tab/>
      </w:r>
      <w:r w:rsidRPr="003860D1">
        <w:rPr>
          <w:szCs w:val="24"/>
        </w:rPr>
        <w:tab/>
      </w:r>
      <w:r w:rsidR="002E30B1">
        <w:rPr>
          <w:szCs w:val="24"/>
        </w:rPr>
        <w:t>5</w:t>
      </w:r>
      <w:r w:rsidRPr="003860D1">
        <w:rPr>
          <w:szCs w:val="24"/>
        </w:rPr>
        <w:t>/1/</w:t>
      </w:r>
      <w:r w:rsidR="000C01BD">
        <w:rPr>
          <w:szCs w:val="24"/>
        </w:rPr>
        <w:t>2</w:t>
      </w:r>
      <w:r w:rsidR="007410CF">
        <w:rPr>
          <w:szCs w:val="24"/>
        </w:rPr>
        <w:t>5</w:t>
      </w:r>
    </w:p>
    <w:p w14:paraId="2B7B2192" w14:textId="77777777" w:rsidR="00BA233B" w:rsidRPr="00BA233B" w:rsidRDefault="00BA233B" w:rsidP="00BA233B">
      <w:pPr>
        <w:rPr>
          <w:sz w:val="24"/>
          <w:szCs w:val="24"/>
        </w:rPr>
      </w:pPr>
    </w:p>
    <w:p w14:paraId="2DC3B688" w14:textId="77777777" w:rsidR="002A2882" w:rsidRPr="007D7A3C" w:rsidRDefault="00BA233B" w:rsidP="00BA233B">
      <w:pPr>
        <w:pStyle w:val="TITLEPAGE"/>
        <w:jc w:val="both"/>
        <w:rPr>
          <w:rFonts w:ascii="Times New Roman" w:hAnsi="Times New Roman"/>
          <w:caps w:val="0"/>
          <w:sz w:val="24"/>
          <w:szCs w:val="24"/>
        </w:rPr>
      </w:pPr>
      <w:r w:rsidRPr="00BA233B">
        <w:rPr>
          <w:rFonts w:ascii="Times New Roman" w:hAnsi="Times New Roman"/>
          <w:caps w:val="0"/>
          <w:sz w:val="24"/>
          <w:szCs w:val="24"/>
        </w:rPr>
        <w:t>Cross Reference</w:t>
      </w:r>
      <w:r w:rsidR="002D0B58">
        <w:rPr>
          <w:rFonts w:ascii="Times New Roman" w:hAnsi="Times New Roman"/>
          <w:caps w:val="0"/>
          <w:sz w:val="24"/>
          <w:szCs w:val="24"/>
        </w:rPr>
        <w:t>:</w:t>
      </w:r>
    </w:p>
    <w:p w14:paraId="483E46BD" w14:textId="77777777" w:rsidR="002A2882" w:rsidRDefault="002A2882" w:rsidP="00722C80">
      <w:pPr>
        <w:pStyle w:val="TITLEPAGE"/>
        <w:jc w:val="both"/>
        <w:rPr>
          <w:rFonts w:ascii="Times New Roman" w:hAnsi="Times New Roman"/>
          <w:b w:val="0"/>
          <w:caps w:val="0"/>
          <w:sz w:val="24"/>
          <w:szCs w:val="24"/>
        </w:rPr>
      </w:pPr>
      <w:r w:rsidRPr="002D0B58">
        <w:rPr>
          <w:rFonts w:ascii="Times New Roman" w:hAnsi="Times New Roman"/>
          <w:b w:val="0"/>
          <w:caps w:val="0"/>
          <w:sz w:val="24"/>
          <w:szCs w:val="24"/>
        </w:rPr>
        <w:t>COT Standard # 6100 – Backup and Recovery</w:t>
      </w:r>
    </w:p>
    <w:p w14:paraId="182C9781" w14:textId="77777777" w:rsidR="004F1AAF" w:rsidRDefault="004F1AAF" w:rsidP="00722C80">
      <w:pPr>
        <w:pStyle w:val="TITLEPAGE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14:paraId="01BCF759" w14:textId="77777777" w:rsidR="004F1AAF" w:rsidRDefault="004F1AAF" w:rsidP="00722C80">
      <w:pPr>
        <w:pStyle w:val="TITLEPAGE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p w14:paraId="4969CFBF" w14:textId="77777777" w:rsidR="005B75CF" w:rsidRPr="005B75CF" w:rsidRDefault="005B75CF" w:rsidP="005B75CF">
      <w:pPr>
        <w:rPr>
          <w:b/>
          <w:sz w:val="24"/>
          <w:szCs w:val="24"/>
        </w:rPr>
      </w:pPr>
      <w:r w:rsidRPr="005B75CF">
        <w:rPr>
          <w:b/>
          <w:sz w:val="24"/>
          <w:szCs w:val="24"/>
        </w:rPr>
        <w:t>Link to all COT Software Domain Standards:</w:t>
      </w:r>
    </w:p>
    <w:p w14:paraId="7B53B7FD" w14:textId="77777777" w:rsidR="005B75CF" w:rsidRPr="005B75CF" w:rsidRDefault="005571BF" w:rsidP="005B75CF">
      <w:pPr>
        <w:rPr>
          <w:sz w:val="24"/>
          <w:szCs w:val="24"/>
        </w:rPr>
      </w:pPr>
      <w:hyperlink r:id="rId11" w:history="1">
        <w:r w:rsidR="005B75CF" w:rsidRPr="005B75CF">
          <w:rPr>
            <w:rStyle w:val="Hyperlink"/>
            <w:sz w:val="24"/>
            <w:szCs w:val="24"/>
          </w:rPr>
          <w:t>KITS_Report.pdf (ky.gov)</w:t>
        </w:r>
      </w:hyperlink>
    </w:p>
    <w:p w14:paraId="55C66171" w14:textId="77777777" w:rsidR="005B75CF" w:rsidRPr="005B75CF" w:rsidRDefault="005B75CF" w:rsidP="005B75CF">
      <w:pPr>
        <w:rPr>
          <w:b/>
          <w:sz w:val="24"/>
          <w:szCs w:val="24"/>
        </w:rPr>
      </w:pPr>
    </w:p>
    <w:p w14:paraId="369501B2" w14:textId="77777777" w:rsidR="005B75CF" w:rsidRPr="005B75CF" w:rsidRDefault="005B75CF" w:rsidP="005B75CF">
      <w:pPr>
        <w:rPr>
          <w:b/>
          <w:sz w:val="24"/>
          <w:szCs w:val="24"/>
        </w:rPr>
      </w:pPr>
      <w:r w:rsidRPr="005B75CF">
        <w:rPr>
          <w:b/>
          <w:sz w:val="24"/>
          <w:szCs w:val="24"/>
        </w:rPr>
        <w:t>Link to all CHFS IT Standards:</w:t>
      </w:r>
    </w:p>
    <w:p w14:paraId="0D6ED4BF" w14:textId="77777777" w:rsidR="005B75CF" w:rsidRPr="005B75CF" w:rsidRDefault="005571BF" w:rsidP="005B75CF">
      <w:pPr>
        <w:rPr>
          <w:sz w:val="24"/>
          <w:szCs w:val="24"/>
        </w:rPr>
      </w:pPr>
      <w:hyperlink r:id="rId12" w:history="1">
        <w:r w:rsidR="005B75CF" w:rsidRPr="005B75CF">
          <w:rPr>
            <w:rStyle w:val="Hyperlink"/>
            <w:sz w:val="24"/>
            <w:szCs w:val="24"/>
          </w:rPr>
          <w:t>CHFS IT Standards - Cabinet for Health and Family Services (ky.gov)</w:t>
        </w:r>
      </w:hyperlink>
    </w:p>
    <w:p w14:paraId="6FE45702" w14:textId="77777777" w:rsidR="005B75CF" w:rsidRPr="005B75CF" w:rsidRDefault="005B75CF" w:rsidP="005B75CF">
      <w:pPr>
        <w:rPr>
          <w:b/>
          <w:sz w:val="24"/>
          <w:szCs w:val="24"/>
        </w:rPr>
      </w:pPr>
    </w:p>
    <w:p w14:paraId="25EAEDB3" w14:textId="77777777" w:rsidR="005B75CF" w:rsidRPr="005B75CF" w:rsidRDefault="005B75CF" w:rsidP="005B75CF">
      <w:pPr>
        <w:rPr>
          <w:b/>
          <w:sz w:val="24"/>
          <w:szCs w:val="24"/>
        </w:rPr>
      </w:pPr>
      <w:r w:rsidRPr="005B75CF">
        <w:rPr>
          <w:b/>
          <w:sz w:val="24"/>
          <w:szCs w:val="24"/>
        </w:rPr>
        <w:t>Link to all CHFS IT Policies:</w:t>
      </w:r>
    </w:p>
    <w:p w14:paraId="40ADBD2D" w14:textId="77777777" w:rsidR="005B75CF" w:rsidRPr="005B75CF" w:rsidRDefault="005571BF" w:rsidP="005B75CF">
      <w:pPr>
        <w:pStyle w:val="BodyText"/>
        <w:spacing w:after="0"/>
        <w:jc w:val="both"/>
        <w:rPr>
          <w:color w:val="000000"/>
          <w:szCs w:val="24"/>
        </w:rPr>
      </w:pPr>
      <w:hyperlink r:id="rId13" w:history="1">
        <w:r w:rsidR="005B75CF" w:rsidRPr="005B75CF">
          <w:rPr>
            <w:rStyle w:val="Hyperlink"/>
            <w:szCs w:val="24"/>
          </w:rPr>
          <w:t>CHFS IT Policies - Cabinet for Health and Family Services (ky.gov)</w:t>
        </w:r>
      </w:hyperlink>
    </w:p>
    <w:p w14:paraId="643F3652" w14:textId="77777777" w:rsidR="005B75CF" w:rsidRPr="002D0B58" w:rsidRDefault="005B75CF" w:rsidP="00722C80">
      <w:pPr>
        <w:pStyle w:val="TITLEPAGE"/>
        <w:jc w:val="both"/>
        <w:rPr>
          <w:rFonts w:ascii="Times New Roman" w:hAnsi="Times New Roman"/>
          <w:b w:val="0"/>
          <w:caps w:val="0"/>
          <w:sz w:val="24"/>
          <w:szCs w:val="24"/>
        </w:rPr>
      </w:pPr>
    </w:p>
    <w:sectPr w:rsidR="005B75CF" w:rsidRPr="002D0B58" w:rsidSect="00C27A0D">
      <w:footerReference w:type="even" r:id="rId14"/>
      <w:footerReference w:type="default" r:id="rId15"/>
      <w:pgSz w:w="12240" w:h="15840"/>
      <w:pgMar w:top="1440" w:right="864" w:bottom="864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1B359" w14:textId="77777777" w:rsidR="00061524" w:rsidRDefault="00061524">
      <w:r>
        <w:separator/>
      </w:r>
    </w:p>
  </w:endnote>
  <w:endnote w:type="continuationSeparator" w:id="0">
    <w:p w14:paraId="29FA3167" w14:textId="77777777" w:rsidR="00061524" w:rsidRDefault="00061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5E5DC" w14:textId="77777777" w:rsidR="002D0B58" w:rsidRDefault="00562AEA" w:rsidP="002756A5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 w:rsidR="002D0B5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4FE217" w14:textId="77777777" w:rsidR="002D0B58" w:rsidRDefault="002D0B58" w:rsidP="002756A5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1621D" w14:textId="75ECA12A" w:rsidR="002D0B58" w:rsidRDefault="002D0B58" w:rsidP="002756A5">
    <w:pPr>
      <w:pStyle w:val="Footer"/>
    </w:pPr>
    <w:r w:rsidRPr="00382DAA">
      <w:t>P</w:t>
    </w:r>
    <w:r>
      <w:t xml:space="preserve">age </w:t>
    </w:r>
    <w:r w:rsidR="00082291">
      <w:fldChar w:fldCharType="begin"/>
    </w:r>
    <w:r w:rsidR="00082291">
      <w:instrText xml:space="preserve"> PAGE </w:instrText>
    </w:r>
    <w:r w:rsidR="00082291">
      <w:fldChar w:fldCharType="separate"/>
    </w:r>
    <w:r w:rsidR="009B3618">
      <w:rPr>
        <w:noProof/>
      </w:rPr>
      <w:t>1</w:t>
    </w:r>
    <w:r w:rsidR="00082291">
      <w:rPr>
        <w:noProof/>
      </w:rPr>
      <w:fldChar w:fldCharType="end"/>
    </w:r>
    <w:r>
      <w:t xml:space="preserve"> of </w:t>
    </w:r>
    <w:r w:rsidR="005571BF">
      <w:fldChar w:fldCharType="begin"/>
    </w:r>
    <w:r w:rsidR="005571BF">
      <w:instrText xml:space="preserve"> NUMPAGES </w:instrText>
    </w:r>
    <w:r w:rsidR="005571BF">
      <w:fldChar w:fldCharType="separate"/>
    </w:r>
    <w:r w:rsidR="009B3618">
      <w:rPr>
        <w:noProof/>
      </w:rPr>
      <w:t>2</w:t>
    </w:r>
    <w:r w:rsidR="005571B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DD537" w14:textId="77777777" w:rsidR="00061524" w:rsidRDefault="00061524">
      <w:r>
        <w:separator/>
      </w:r>
    </w:p>
  </w:footnote>
  <w:footnote w:type="continuationSeparator" w:id="0">
    <w:p w14:paraId="2CC9814A" w14:textId="77777777" w:rsidR="00061524" w:rsidRDefault="000615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934E0"/>
    <w:multiLevelType w:val="hybridMultilevel"/>
    <w:tmpl w:val="453A1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01651"/>
    <w:multiLevelType w:val="hybridMultilevel"/>
    <w:tmpl w:val="0972A78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94403F"/>
    <w:multiLevelType w:val="multilevel"/>
    <w:tmpl w:val="0972A7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5608E1"/>
    <w:multiLevelType w:val="hybridMultilevel"/>
    <w:tmpl w:val="AADC5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86445042">
    <w:abstractNumId w:val="1"/>
  </w:num>
  <w:num w:numId="2" w16cid:durableId="2000424094">
    <w:abstractNumId w:val="2"/>
  </w:num>
  <w:num w:numId="3" w16cid:durableId="1899586421">
    <w:abstractNumId w:val="3"/>
  </w:num>
  <w:num w:numId="4" w16cid:durableId="1103957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trackRevisions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000"/>
    <w:rsid w:val="000067FE"/>
    <w:rsid w:val="00061524"/>
    <w:rsid w:val="00065B7B"/>
    <w:rsid w:val="00067B75"/>
    <w:rsid w:val="00082291"/>
    <w:rsid w:val="000C01BD"/>
    <w:rsid w:val="000C4B1B"/>
    <w:rsid w:val="000E3621"/>
    <w:rsid w:val="00205C59"/>
    <w:rsid w:val="00207A13"/>
    <w:rsid w:val="002756A5"/>
    <w:rsid w:val="00282000"/>
    <w:rsid w:val="002A2882"/>
    <w:rsid w:val="002A41A4"/>
    <w:rsid w:val="002D0B58"/>
    <w:rsid w:val="002E30B1"/>
    <w:rsid w:val="002E58F3"/>
    <w:rsid w:val="00330F9A"/>
    <w:rsid w:val="00350447"/>
    <w:rsid w:val="00382DAA"/>
    <w:rsid w:val="003A58BA"/>
    <w:rsid w:val="003D5332"/>
    <w:rsid w:val="004079D9"/>
    <w:rsid w:val="004560AA"/>
    <w:rsid w:val="004C4B1C"/>
    <w:rsid w:val="004F1AAF"/>
    <w:rsid w:val="00511314"/>
    <w:rsid w:val="005571BF"/>
    <w:rsid w:val="00562AEA"/>
    <w:rsid w:val="005B75CF"/>
    <w:rsid w:val="005C6311"/>
    <w:rsid w:val="006148D3"/>
    <w:rsid w:val="00655651"/>
    <w:rsid w:val="006746E3"/>
    <w:rsid w:val="006A7208"/>
    <w:rsid w:val="006F37C3"/>
    <w:rsid w:val="00716B6E"/>
    <w:rsid w:val="00722C80"/>
    <w:rsid w:val="007410CF"/>
    <w:rsid w:val="007B062D"/>
    <w:rsid w:val="00802B6D"/>
    <w:rsid w:val="0085745E"/>
    <w:rsid w:val="008E1E37"/>
    <w:rsid w:val="009B3618"/>
    <w:rsid w:val="00A64FC0"/>
    <w:rsid w:val="00A67DC3"/>
    <w:rsid w:val="00A84A0E"/>
    <w:rsid w:val="00AA4A56"/>
    <w:rsid w:val="00AC3802"/>
    <w:rsid w:val="00AE7FD8"/>
    <w:rsid w:val="00B655EB"/>
    <w:rsid w:val="00B811EF"/>
    <w:rsid w:val="00BA233B"/>
    <w:rsid w:val="00BC252D"/>
    <w:rsid w:val="00BE46A9"/>
    <w:rsid w:val="00C27A0D"/>
    <w:rsid w:val="00C84C07"/>
    <w:rsid w:val="00CA65B4"/>
    <w:rsid w:val="00CD787A"/>
    <w:rsid w:val="00D31D58"/>
    <w:rsid w:val="00E87739"/>
    <w:rsid w:val="00E93D39"/>
    <w:rsid w:val="00ED0640"/>
    <w:rsid w:val="00F5572D"/>
    <w:rsid w:val="00F60ABB"/>
    <w:rsid w:val="00FE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360B6A32"/>
  <w15:docId w15:val="{3CF2129C-D68E-475D-BE24-F63C4097C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062D"/>
    <w:pPr>
      <w:widowControl w:val="0"/>
    </w:pPr>
    <w:rPr>
      <w:snapToGrid w:val="0"/>
    </w:rPr>
  </w:style>
  <w:style w:type="paragraph" w:styleId="Heading1">
    <w:name w:val="heading 1"/>
    <w:basedOn w:val="Normal"/>
    <w:next w:val="Normal"/>
    <w:qFormat/>
    <w:rsid w:val="007B062D"/>
    <w:pPr>
      <w:keepNext/>
      <w:ind w:left="720" w:hanging="720"/>
      <w:outlineLvl w:val="0"/>
    </w:pPr>
    <w:rPr>
      <w:rFonts w:ascii="Arial" w:hAnsi="Arial"/>
      <w:b/>
      <w:caps/>
      <w:kern w:val="28"/>
      <w:sz w:val="28"/>
    </w:rPr>
  </w:style>
  <w:style w:type="paragraph" w:styleId="Heading2">
    <w:name w:val="heading 2"/>
    <w:basedOn w:val="Normal"/>
    <w:next w:val="Normal"/>
    <w:qFormat/>
    <w:rsid w:val="007B062D"/>
    <w:pPr>
      <w:keepNext/>
      <w:spacing w:before="300" w:after="300"/>
      <w:ind w:left="720" w:hanging="720"/>
      <w:outlineLvl w:val="1"/>
    </w:pPr>
    <w:rPr>
      <w:rFonts w:ascii="Arial" w:hAnsi="Arial"/>
      <w:b/>
      <w:caps/>
      <w:kern w:val="28"/>
      <w:sz w:val="28"/>
    </w:rPr>
  </w:style>
  <w:style w:type="paragraph" w:styleId="Heading3">
    <w:name w:val="heading 3"/>
    <w:basedOn w:val="Normal"/>
    <w:next w:val="Normal"/>
    <w:qFormat/>
    <w:rsid w:val="00B655E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7B062D"/>
    <w:pPr>
      <w:spacing w:after="240"/>
    </w:pPr>
    <w:rPr>
      <w:sz w:val="24"/>
    </w:rPr>
  </w:style>
  <w:style w:type="paragraph" w:customStyle="1" w:styleId="TITLEPAGE">
    <w:name w:val="TITLEPAGE"/>
    <w:basedOn w:val="Normal"/>
    <w:rsid w:val="007B062D"/>
    <w:rPr>
      <w:rFonts w:ascii="Arial" w:hAnsi="Arial"/>
      <w:b/>
      <w:caps/>
      <w:sz w:val="28"/>
    </w:rPr>
  </w:style>
  <w:style w:type="character" w:styleId="Hyperlink">
    <w:name w:val="Hyperlink"/>
    <w:rsid w:val="007B062D"/>
    <w:rPr>
      <w:color w:val="0000FF"/>
      <w:u w:val="single"/>
    </w:rPr>
  </w:style>
  <w:style w:type="character" w:styleId="FollowedHyperlink">
    <w:name w:val="FollowedHyperlink"/>
    <w:rsid w:val="007B062D"/>
    <w:rPr>
      <w:color w:val="800080"/>
      <w:u w:val="single"/>
    </w:rPr>
  </w:style>
  <w:style w:type="paragraph" w:styleId="TOC2">
    <w:name w:val="toc 2"/>
    <w:basedOn w:val="Normal"/>
    <w:next w:val="Normal"/>
    <w:autoRedefine/>
    <w:semiHidden/>
    <w:rsid w:val="00AC3802"/>
  </w:style>
  <w:style w:type="paragraph" w:styleId="Footer">
    <w:name w:val="footer"/>
    <w:basedOn w:val="Normal"/>
    <w:rsid w:val="002756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756A5"/>
  </w:style>
  <w:style w:type="paragraph" w:styleId="Header">
    <w:name w:val="header"/>
    <w:basedOn w:val="Normal"/>
    <w:rsid w:val="002756A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5C6311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AE7FD8"/>
    <w:rPr>
      <w:snapToGrid w:val="0"/>
      <w:sz w:val="24"/>
    </w:rPr>
  </w:style>
  <w:style w:type="character" w:styleId="CommentReference">
    <w:name w:val="annotation reference"/>
    <w:basedOn w:val="DefaultParagraphFont"/>
    <w:semiHidden/>
    <w:unhideWhenUsed/>
    <w:rsid w:val="004560A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60AA"/>
  </w:style>
  <w:style w:type="character" w:customStyle="1" w:styleId="CommentTextChar">
    <w:name w:val="Comment Text Char"/>
    <w:basedOn w:val="DefaultParagraphFont"/>
    <w:link w:val="CommentText"/>
    <w:semiHidden/>
    <w:rsid w:val="004560AA"/>
    <w:rPr>
      <w:snapToGrid w:val="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6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60AA"/>
    <w:rPr>
      <w:b/>
      <w:bCs/>
      <w:snapToGrid w:val="0"/>
    </w:rPr>
  </w:style>
  <w:style w:type="paragraph" w:styleId="Revision">
    <w:name w:val="Revision"/>
    <w:hidden/>
    <w:uiPriority w:val="99"/>
    <w:semiHidden/>
    <w:rsid w:val="002E30B1"/>
    <w:rPr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1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hfs.ky.gov/agencies/os/oats/Pages/ITpolicies.aspx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hfs.ky.gov/agencies/os/oats/Pages/itstandards.aspx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gp.ky.gov/sites/COTPUBDOCS/Standards/KITS_Report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9C07F-F31F-49E2-AFEC-962E16C597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214D6B-F2C5-471E-BF64-5964A06DA659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abef68b6-56dd-491d-bf1a-cda624f8e54f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39BE4B5D-A0EF-4F90-B80C-F09153E0568D"/>
    <ds:schemaRef ds:uri="http://www.w3.org/XML/1998/namespace"/>
    <ds:schemaRef ds:uri="http://purl.org/dc/dcmitype/"/>
    <ds:schemaRef ds:uri="316c6df3-ccae-4f20-9035-90ad8bd12d2b"/>
  </ds:schemaRefs>
</ds:datastoreItem>
</file>

<file path=customXml/itemProps3.xml><?xml version="1.0" encoding="utf-8"?>
<ds:datastoreItem xmlns:ds="http://schemas.openxmlformats.org/officeDocument/2006/customXml" ds:itemID="{D1619422-6999-4D82-974E-CE69956AF1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EA0469-6E6D-4BEB-AEA9-A792A3EEC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6100 - Backup and Recovery</vt:lpstr>
    </vt:vector>
  </TitlesOfParts>
  <Company>Commonwealth of Kentucky</Company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6100 - Backup and Recovery</dc:title>
  <dc:subject/>
  <dc:creator>ronnie.boggs</dc:creator>
  <cp:keywords/>
  <dc:description/>
  <cp:lastModifiedBy>Bartley, Megan (CHFS OATS DES)</cp:lastModifiedBy>
  <cp:revision>5</cp:revision>
  <dcterms:created xsi:type="dcterms:W3CDTF">2023-09-25T20:40:00Z</dcterms:created>
  <dcterms:modified xsi:type="dcterms:W3CDTF">2024-06-07T13:50:00Z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0x0101004A6B80B5454FBE4896EA5F98485B41B4</vt:lpwstr>
  </property>
  <property fmtid="{D5CDD505-2E9C-101B-9397-08002B2CF9AE}" pid="3" name="Order">
    <vt:r8>43100</vt:r8>
  </property>
  <property fmtid="{D5CDD505-2E9C-101B-9397-08002B2CF9AE}" pid="4" name="CrossRefsChecked?">
    <vt:bool>false</vt:bool>
  </property>
</Properties>
</file>