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E923" w14:textId="56E6E6F0" w:rsidR="00E04685" w:rsidRPr="00705C6C" w:rsidRDefault="00E04685" w:rsidP="00705C6C">
      <w:pPr>
        <w:pStyle w:val="Heading3"/>
        <w:spacing w:before="0" w:after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s022019"/>
      <w:bookmarkStart w:id="1" w:name="b022019"/>
      <w:r w:rsidRPr="00DC26A8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  <w:r w:rsidR="00705C6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05C6C">
        <w:rPr>
          <w:rFonts w:ascii="Times New Roman" w:hAnsi="Times New Roman" w:cs="Times New Roman"/>
          <w:color w:val="000000"/>
          <w:sz w:val="32"/>
          <w:szCs w:val="32"/>
        </w:rPr>
        <w:t>Standards</w:t>
      </w:r>
    </w:p>
    <w:p w14:paraId="0FFAB384" w14:textId="77777777" w:rsidR="00E04685" w:rsidRPr="00DC26A8" w:rsidRDefault="00E04685" w:rsidP="00985C7E">
      <w:pPr>
        <w:jc w:val="both"/>
        <w:rPr>
          <w:b/>
        </w:rPr>
      </w:pPr>
    </w:p>
    <w:p w14:paraId="1FC59397" w14:textId="77777777" w:rsidR="00E04685" w:rsidRPr="00DC26A8" w:rsidRDefault="00E04685" w:rsidP="00985C7E">
      <w:pPr>
        <w:jc w:val="both"/>
        <w:rPr>
          <w:b/>
          <w:sz w:val="28"/>
          <w:szCs w:val="28"/>
        </w:rPr>
      </w:pPr>
      <w:r w:rsidRPr="00DC26A8">
        <w:rPr>
          <w:b/>
          <w:sz w:val="28"/>
          <w:szCs w:val="28"/>
        </w:rPr>
        <w:t xml:space="preserve">Category: </w:t>
      </w:r>
      <w:r w:rsidR="001558B1" w:rsidRPr="00DC26A8">
        <w:rPr>
          <w:b/>
          <w:sz w:val="28"/>
          <w:szCs w:val="28"/>
        </w:rPr>
        <w:t>2</w:t>
      </w:r>
      <w:r w:rsidRPr="00DC26A8">
        <w:rPr>
          <w:b/>
          <w:sz w:val="28"/>
          <w:szCs w:val="28"/>
        </w:rPr>
        <w:t xml:space="preserve">000 </w:t>
      </w:r>
      <w:r w:rsidR="001558B1" w:rsidRPr="00DC26A8">
        <w:rPr>
          <w:b/>
          <w:sz w:val="28"/>
          <w:szCs w:val="28"/>
        </w:rPr>
        <w:t xml:space="preserve">Software </w:t>
      </w:r>
      <w:r w:rsidRPr="00DC26A8">
        <w:rPr>
          <w:b/>
          <w:sz w:val="28"/>
          <w:szCs w:val="28"/>
        </w:rPr>
        <w:t>Domain</w:t>
      </w:r>
    </w:p>
    <w:p w14:paraId="79BBCA04" w14:textId="77777777" w:rsidR="00E04685" w:rsidRPr="00DC26A8" w:rsidRDefault="00E04685" w:rsidP="00985C7E">
      <w:pPr>
        <w:pStyle w:val="Heading2"/>
        <w:spacing w:before="0" w:after="0"/>
        <w:jc w:val="both"/>
        <w:rPr>
          <w:rFonts w:ascii="Times New Roman" w:hAnsi="Times New Roman"/>
          <w:sz w:val="20"/>
        </w:rPr>
      </w:pPr>
    </w:p>
    <w:bookmarkEnd w:id="0"/>
    <w:p w14:paraId="3441E434" w14:textId="77777777" w:rsidR="00E04685" w:rsidRPr="00DC26A8" w:rsidRDefault="001558B1" w:rsidP="00985C7E">
      <w:pPr>
        <w:jc w:val="both"/>
        <w:rPr>
          <w:b/>
          <w:sz w:val="28"/>
          <w:szCs w:val="28"/>
        </w:rPr>
      </w:pPr>
      <w:r w:rsidRPr="00DC26A8">
        <w:rPr>
          <w:b/>
          <w:sz w:val="28"/>
          <w:szCs w:val="28"/>
        </w:rPr>
        <w:t>2</w:t>
      </w:r>
      <w:bookmarkEnd w:id="1"/>
      <w:r w:rsidRPr="00DC26A8">
        <w:rPr>
          <w:b/>
          <w:sz w:val="28"/>
          <w:szCs w:val="28"/>
        </w:rPr>
        <w:t>310 – Business Intelligence and R</w:t>
      </w:r>
      <w:r w:rsidR="00E04685" w:rsidRPr="00DC26A8">
        <w:rPr>
          <w:b/>
          <w:sz w:val="28"/>
          <w:szCs w:val="28"/>
        </w:rPr>
        <w:t>eporting Software</w:t>
      </w:r>
    </w:p>
    <w:p w14:paraId="5EDC7655" w14:textId="77777777" w:rsidR="00E04685" w:rsidRPr="00DC26A8" w:rsidRDefault="00E04685" w:rsidP="00985C7E">
      <w:pPr>
        <w:jc w:val="both"/>
      </w:pPr>
    </w:p>
    <w:p w14:paraId="4AB473BE" w14:textId="77777777" w:rsidR="00C83A53" w:rsidRPr="00DC26A8" w:rsidRDefault="00E04685" w:rsidP="00985C7E">
      <w:pPr>
        <w:jc w:val="both"/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 xml:space="preserve">Definition: </w:t>
      </w:r>
    </w:p>
    <w:p w14:paraId="1D94E77E" w14:textId="77777777" w:rsidR="00DC26A8" w:rsidRPr="00682756" w:rsidRDefault="007A5720" w:rsidP="00985C7E">
      <w:pPr>
        <w:jc w:val="both"/>
        <w:rPr>
          <w:snapToGrid/>
          <w:sz w:val="24"/>
          <w:szCs w:val="24"/>
        </w:rPr>
      </w:pPr>
      <w:r w:rsidRPr="00682756">
        <w:rPr>
          <w:snapToGrid/>
          <w:sz w:val="24"/>
          <w:szCs w:val="24"/>
        </w:rPr>
        <w:t>Software to support identifying, extracting, and analyzing business data, such as performance and cost metrics to support better business decision-making.</w:t>
      </w:r>
    </w:p>
    <w:p w14:paraId="0B83946F" w14:textId="77777777" w:rsidR="00E04685" w:rsidRPr="00682756" w:rsidRDefault="00E04685" w:rsidP="00985C7E">
      <w:pPr>
        <w:jc w:val="both"/>
        <w:rPr>
          <w:b/>
          <w:sz w:val="24"/>
          <w:szCs w:val="24"/>
        </w:rPr>
      </w:pPr>
    </w:p>
    <w:p w14:paraId="51E220EB" w14:textId="30D9E835" w:rsidR="00C83A53" w:rsidRPr="00DC26A8" w:rsidRDefault="00E04685" w:rsidP="00985C7E">
      <w:pPr>
        <w:jc w:val="both"/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 xml:space="preserve">Standard: </w:t>
      </w:r>
    </w:p>
    <w:p w14:paraId="3F04FCFC" w14:textId="6679E2FB" w:rsidR="00DC26A8" w:rsidRPr="00682756" w:rsidRDefault="007A5720" w:rsidP="00985C7E">
      <w:pPr>
        <w:jc w:val="both"/>
        <w:rPr>
          <w:snapToGrid/>
          <w:sz w:val="24"/>
          <w:szCs w:val="24"/>
        </w:rPr>
      </w:pPr>
      <w:r w:rsidRPr="00682756">
        <w:rPr>
          <w:snapToGrid/>
          <w:sz w:val="24"/>
          <w:szCs w:val="24"/>
        </w:rPr>
        <w:t xml:space="preserve">Software that operates across the range of platforms used by </w:t>
      </w:r>
      <w:r w:rsidR="00E15E59">
        <w:rPr>
          <w:snapToGrid/>
          <w:sz w:val="24"/>
          <w:szCs w:val="24"/>
        </w:rPr>
        <w:t xml:space="preserve">CHFS </w:t>
      </w:r>
      <w:proofErr w:type="gramStart"/>
      <w:r w:rsidRPr="00682756">
        <w:rPr>
          <w:snapToGrid/>
          <w:sz w:val="24"/>
          <w:szCs w:val="24"/>
        </w:rPr>
        <w:t>applications  that</w:t>
      </w:r>
      <w:proofErr w:type="gramEnd"/>
      <w:r w:rsidRPr="00682756">
        <w:rPr>
          <w:snapToGrid/>
          <w:sz w:val="24"/>
          <w:szCs w:val="24"/>
        </w:rPr>
        <w:t xml:space="preserve"> can extract data, store in various formats, can group data, and </w:t>
      </w:r>
      <w:r w:rsidRPr="00962FBF">
        <w:rPr>
          <w:snapToGrid/>
          <w:sz w:val="24"/>
          <w:szCs w:val="24"/>
        </w:rPr>
        <w:t>can perform all required statistical processes and tests.</w:t>
      </w:r>
    </w:p>
    <w:p w14:paraId="2D08A7DE" w14:textId="77777777" w:rsidR="00E04685" w:rsidRPr="00682756" w:rsidRDefault="00E04685" w:rsidP="00985C7E">
      <w:pPr>
        <w:jc w:val="both"/>
        <w:rPr>
          <w:b/>
          <w:sz w:val="24"/>
          <w:szCs w:val="24"/>
        </w:rPr>
      </w:pPr>
    </w:p>
    <w:p w14:paraId="36B57E28" w14:textId="59B9C115" w:rsidR="00EB4DAC" w:rsidRPr="00682756" w:rsidRDefault="00EB4DAC" w:rsidP="00EB4DAC">
      <w:pPr>
        <w:jc w:val="both"/>
        <w:rPr>
          <w:b/>
          <w:sz w:val="24"/>
          <w:szCs w:val="24"/>
        </w:rPr>
      </w:pPr>
    </w:p>
    <w:p w14:paraId="401CC61E" w14:textId="04922CD0" w:rsidR="00E04685" w:rsidRPr="00DC26A8" w:rsidRDefault="00E04685" w:rsidP="00985C7E">
      <w:pPr>
        <w:jc w:val="both"/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Approved Product(s):</w:t>
      </w:r>
    </w:p>
    <w:p w14:paraId="51F68716" w14:textId="32001706" w:rsidR="001558B1" w:rsidRDefault="001558B1" w:rsidP="00985C7E">
      <w:pPr>
        <w:jc w:val="both"/>
        <w:rPr>
          <w:sz w:val="24"/>
          <w:szCs w:val="24"/>
        </w:rPr>
      </w:pPr>
    </w:p>
    <w:p w14:paraId="4880079D" w14:textId="2F91D683" w:rsidR="00785B6D" w:rsidRDefault="00785B6D" w:rsidP="00985C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CHFS has selected a subset of KITS development tools that match CHFS technology development </w:t>
      </w:r>
      <w:proofErr w:type="gramStart"/>
      <w:r>
        <w:rPr>
          <w:sz w:val="24"/>
          <w:szCs w:val="24"/>
        </w:rPr>
        <w:t>skills  along</w:t>
      </w:r>
      <w:proofErr w:type="gramEnd"/>
      <w:r>
        <w:rPr>
          <w:sz w:val="24"/>
          <w:szCs w:val="24"/>
        </w:rPr>
        <w:t xml:space="preserve"> with additional tools required for Cabinet needs.</w:t>
      </w:r>
    </w:p>
    <w:p w14:paraId="08DF3C5B" w14:textId="77777777" w:rsidR="00785B6D" w:rsidRPr="00DC26A8" w:rsidRDefault="00785B6D" w:rsidP="00985C7E">
      <w:pPr>
        <w:jc w:val="both"/>
        <w:rPr>
          <w:sz w:val="24"/>
          <w:szCs w:val="24"/>
        </w:rPr>
      </w:pPr>
    </w:p>
    <w:tbl>
      <w:tblPr>
        <w:tblStyle w:val="TableGrid"/>
        <w:tblW w:w="9449" w:type="dxa"/>
        <w:tblLook w:val="04A0" w:firstRow="1" w:lastRow="0" w:firstColumn="1" w:lastColumn="0" w:noHBand="0" w:noVBand="1"/>
      </w:tblPr>
      <w:tblGrid>
        <w:gridCol w:w="4669"/>
        <w:gridCol w:w="4780"/>
      </w:tblGrid>
      <w:tr w:rsidR="00682756" w:rsidRPr="00DC26A8" w14:paraId="5B62F31E" w14:textId="4FFCE2E3" w:rsidTr="00682756">
        <w:trPr>
          <w:trHeight w:val="219"/>
        </w:trPr>
        <w:tc>
          <w:tcPr>
            <w:tcW w:w="4669" w:type="dxa"/>
          </w:tcPr>
          <w:p w14:paraId="0977052D" w14:textId="24DABE61" w:rsidR="00682756" w:rsidRPr="00DC26A8" w:rsidRDefault="00682756" w:rsidP="00EE4C16">
            <w:pPr>
              <w:jc w:val="both"/>
              <w:rPr>
                <w:b/>
                <w:sz w:val="24"/>
                <w:szCs w:val="24"/>
              </w:rPr>
            </w:pPr>
            <w:r w:rsidRPr="00DC26A8">
              <w:rPr>
                <w:b/>
                <w:sz w:val="24"/>
                <w:szCs w:val="24"/>
              </w:rPr>
              <w:t>Tool</w:t>
            </w:r>
          </w:p>
        </w:tc>
        <w:tc>
          <w:tcPr>
            <w:tcW w:w="4780" w:type="dxa"/>
          </w:tcPr>
          <w:p w14:paraId="360E3DBB" w14:textId="3A0E5DC4" w:rsidR="00682756" w:rsidRPr="00DC26A8" w:rsidRDefault="00682756" w:rsidP="00EE4C16">
            <w:pPr>
              <w:jc w:val="both"/>
              <w:rPr>
                <w:b/>
                <w:sz w:val="24"/>
                <w:szCs w:val="24"/>
              </w:rPr>
            </w:pPr>
            <w:r w:rsidRPr="00DC26A8">
              <w:rPr>
                <w:b/>
                <w:sz w:val="24"/>
                <w:szCs w:val="24"/>
              </w:rPr>
              <w:t>Suggested Usage</w:t>
            </w:r>
          </w:p>
        </w:tc>
      </w:tr>
      <w:tr w:rsidR="00682756" w:rsidRPr="00DC26A8" w14:paraId="48028CDE" w14:textId="492E2A83" w:rsidTr="00682756">
        <w:trPr>
          <w:trHeight w:val="447"/>
        </w:trPr>
        <w:tc>
          <w:tcPr>
            <w:tcW w:w="4669" w:type="dxa"/>
          </w:tcPr>
          <w:p w14:paraId="40155A5D" w14:textId="77777777" w:rsidR="00682756" w:rsidRPr="00DC26A8" w:rsidRDefault="00682756" w:rsidP="00E2154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 xml:space="preserve">Business Objects </w:t>
            </w:r>
          </w:p>
          <w:p w14:paraId="7E15AAF9" w14:textId="77777777" w:rsidR="00682756" w:rsidRPr="00DC26A8" w:rsidRDefault="00682756" w:rsidP="00A5625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204D13EF" w14:textId="07502261" w:rsidR="00682756" w:rsidRPr="00DC26A8" w:rsidRDefault="00682756" w:rsidP="00EE4C16">
            <w:pPr>
              <w:jc w:val="both"/>
              <w:rPr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>Primarily for ad hoc reporting.</w:t>
            </w:r>
            <w:r w:rsidR="00042980">
              <w:rPr>
                <w:sz w:val="24"/>
                <w:szCs w:val="24"/>
              </w:rPr>
              <w:t xml:space="preserve"> Not recommended for new initiatives</w:t>
            </w:r>
          </w:p>
        </w:tc>
      </w:tr>
      <w:tr w:rsidR="00682756" w:rsidRPr="00DC26A8" w14:paraId="7410D6F1" w14:textId="759F5B77" w:rsidTr="00682756">
        <w:trPr>
          <w:trHeight w:val="659"/>
        </w:trPr>
        <w:tc>
          <w:tcPr>
            <w:tcW w:w="4669" w:type="dxa"/>
          </w:tcPr>
          <w:p w14:paraId="0BB1A50E" w14:textId="13739D4D" w:rsidR="00682756" w:rsidRPr="00DC26A8" w:rsidRDefault="00682756" w:rsidP="00E21540">
            <w:pPr>
              <w:numPr>
                <w:ilvl w:val="0"/>
                <w:numId w:val="1"/>
              </w:numPr>
              <w:snapToGrid w:val="0"/>
              <w:jc w:val="both"/>
              <w:rPr>
                <w:snapToGrid/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 xml:space="preserve">Microsoft SQL Reporting Services </w:t>
            </w:r>
          </w:p>
          <w:p w14:paraId="24E300B5" w14:textId="77777777" w:rsidR="00682756" w:rsidRPr="00DC26A8" w:rsidRDefault="00682756" w:rsidP="00A56255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339EF459" w14:textId="08022966" w:rsidR="00682756" w:rsidRPr="00DC26A8" w:rsidRDefault="00682756" w:rsidP="00D25E4E">
            <w:pPr>
              <w:jc w:val="both"/>
              <w:rPr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 xml:space="preserve">Can be used </w:t>
            </w:r>
            <w:r w:rsidRPr="00D25E4E">
              <w:rPr>
                <w:sz w:val="24"/>
                <w:szCs w:val="24"/>
              </w:rPr>
              <w:t>for static canned</w:t>
            </w:r>
            <w:r w:rsidR="009A4098">
              <w:rPr>
                <w:sz w:val="24"/>
                <w:szCs w:val="24"/>
              </w:rPr>
              <w:t xml:space="preserve"> </w:t>
            </w:r>
            <w:r w:rsidRPr="00DC26A8">
              <w:rPr>
                <w:sz w:val="24"/>
                <w:szCs w:val="24"/>
              </w:rPr>
              <w:t>reporting only.</w:t>
            </w:r>
            <w:r w:rsidR="00042980">
              <w:rPr>
                <w:sz w:val="24"/>
                <w:szCs w:val="24"/>
              </w:rPr>
              <w:t xml:space="preserve"> Not recommended for new initiatives</w:t>
            </w:r>
            <w:r w:rsidR="003D68FF">
              <w:rPr>
                <w:sz w:val="24"/>
                <w:szCs w:val="24"/>
              </w:rPr>
              <w:t xml:space="preserve">. </w:t>
            </w:r>
          </w:p>
        </w:tc>
      </w:tr>
      <w:tr w:rsidR="00682756" w:rsidRPr="00DC26A8" w14:paraId="2A9237D6" w14:textId="6BCB6AA5" w:rsidTr="00B820FF">
        <w:trPr>
          <w:trHeight w:val="908"/>
        </w:trPr>
        <w:tc>
          <w:tcPr>
            <w:tcW w:w="4669" w:type="dxa"/>
          </w:tcPr>
          <w:p w14:paraId="4640B112" w14:textId="26FE6B16" w:rsidR="00682756" w:rsidRPr="00DC26A8" w:rsidRDefault="00682756" w:rsidP="00E2154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>Power BI</w:t>
            </w:r>
            <w:r w:rsidR="006946FA">
              <w:rPr>
                <w:sz w:val="24"/>
                <w:szCs w:val="24"/>
              </w:rPr>
              <w:t xml:space="preserve"> </w:t>
            </w:r>
            <w:r w:rsidR="007358CA" w:rsidRPr="007358CA">
              <w:rPr>
                <w:sz w:val="24"/>
                <w:szCs w:val="24"/>
              </w:rPr>
              <w:t>P</w:t>
            </w:r>
            <w:r w:rsidR="006946FA" w:rsidRPr="007358CA">
              <w:rPr>
                <w:sz w:val="24"/>
                <w:szCs w:val="24"/>
              </w:rPr>
              <w:t>ro</w:t>
            </w:r>
            <w:r w:rsidR="009A4098">
              <w:rPr>
                <w:sz w:val="24"/>
                <w:szCs w:val="24"/>
              </w:rPr>
              <w:t xml:space="preserve"> </w:t>
            </w:r>
          </w:p>
          <w:p w14:paraId="4512C8DF" w14:textId="77777777" w:rsidR="00682756" w:rsidRPr="00DC26A8" w:rsidRDefault="00682756" w:rsidP="00A562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17DF04A3" w14:textId="15B26698" w:rsidR="006946FA" w:rsidRDefault="00042980" w:rsidP="00042980">
            <w:pPr>
              <w:widowControl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This suite is cabinet recommended option for new reporting needs.</w:t>
            </w:r>
          </w:p>
          <w:p w14:paraId="7CB0ED72" w14:textId="55FADD09" w:rsidR="00042980" w:rsidRPr="00DC26A8" w:rsidRDefault="003534A5">
            <w:pPr>
              <w:widowControl/>
              <w:rPr>
                <w:sz w:val="24"/>
                <w:szCs w:val="24"/>
              </w:rPr>
            </w:pPr>
            <w:r w:rsidRPr="007358CA">
              <w:rPr>
                <w:snapToGrid/>
                <w:sz w:val="24"/>
                <w:szCs w:val="24"/>
              </w:rPr>
              <w:t>Primarily for building dashboards and reports and unlimited viewing, sharing and consumption of created reports (and reports shared by others)</w:t>
            </w:r>
          </w:p>
        </w:tc>
      </w:tr>
      <w:tr w:rsidR="00682756" w:rsidRPr="00DC26A8" w14:paraId="25E4F169" w14:textId="3695736C" w:rsidTr="00682756">
        <w:trPr>
          <w:trHeight w:val="447"/>
        </w:trPr>
        <w:tc>
          <w:tcPr>
            <w:tcW w:w="4669" w:type="dxa"/>
          </w:tcPr>
          <w:p w14:paraId="7ABA1033" w14:textId="31865683" w:rsidR="00682756" w:rsidRPr="00DC26A8" w:rsidRDefault="00682756" w:rsidP="00E21540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C26A8">
              <w:rPr>
                <w:sz w:val="24"/>
                <w:szCs w:val="24"/>
              </w:rPr>
              <w:t xml:space="preserve">Tableau </w:t>
            </w:r>
          </w:p>
          <w:p w14:paraId="4674C550" w14:textId="77777777" w:rsidR="00682756" w:rsidRPr="00DC26A8" w:rsidRDefault="00682756" w:rsidP="00EE4C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0" w:type="dxa"/>
          </w:tcPr>
          <w:p w14:paraId="08C26D3A" w14:textId="60500A74" w:rsidR="00962FBF" w:rsidRPr="000B2D26" w:rsidRDefault="000B2D26" w:rsidP="00D767C9">
            <w:pPr>
              <w:jc w:val="both"/>
              <w:rPr>
                <w:sz w:val="24"/>
                <w:szCs w:val="24"/>
                <w:highlight w:val="yellow"/>
              </w:rPr>
            </w:pPr>
            <w:r w:rsidRPr="000B260E">
              <w:rPr>
                <w:b/>
                <w:bCs/>
                <w:color w:val="000000" w:themeColor="text1"/>
                <w:sz w:val="24"/>
                <w:szCs w:val="24"/>
              </w:rPr>
              <w:t>Tableau</w:t>
            </w:r>
            <w:r w:rsidRPr="000B260E">
              <w:rPr>
                <w:color w:val="000000" w:themeColor="text1"/>
                <w:sz w:val="24"/>
                <w:szCs w:val="24"/>
              </w:rPr>
              <w:t xml:space="preserve"> is our recommended platform for all </w:t>
            </w:r>
            <w:r w:rsidR="00D767C9" w:rsidRPr="00D767C9">
              <w:rPr>
                <w:color w:val="000000" w:themeColor="text1"/>
                <w:sz w:val="24"/>
                <w:szCs w:val="24"/>
              </w:rPr>
              <w:t>UI rich visualization</w:t>
            </w:r>
            <w:r w:rsidR="00D767C9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B260E">
              <w:rPr>
                <w:color w:val="000000" w:themeColor="text1"/>
                <w:sz w:val="24"/>
                <w:szCs w:val="24"/>
              </w:rPr>
              <w:t>dashboard (public or internal) and aggregated report without any identifiable personal information.</w:t>
            </w:r>
          </w:p>
        </w:tc>
      </w:tr>
    </w:tbl>
    <w:p w14:paraId="53E51C47" w14:textId="77777777" w:rsidR="00EE4C16" w:rsidRPr="00DC26A8" w:rsidRDefault="00EE4C16" w:rsidP="00EE4C16">
      <w:pPr>
        <w:jc w:val="both"/>
        <w:rPr>
          <w:b/>
          <w:sz w:val="24"/>
          <w:szCs w:val="24"/>
        </w:rPr>
      </w:pPr>
    </w:p>
    <w:p w14:paraId="177AACDB" w14:textId="77777777" w:rsidR="00EE4C16" w:rsidRPr="00DC26A8" w:rsidRDefault="00EE4C16" w:rsidP="00EE4C16">
      <w:pPr>
        <w:jc w:val="both"/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Exceptions:</w:t>
      </w:r>
    </w:p>
    <w:p w14:paraId="584617F6" w14:textId="77777777" w:rsidR="00EE4C16" w:rsidRPr="00DC26A8" w:rsidRDefault="00EE4C16" w:rsidP="00EE4C16">
      <w:pPr>
        <w:jc w:val="both"/>
        <w:rPr>
          <w:sz w:val="24"/>
          <w:szCs w:val="24"/>
        </w:rPr>
      </w:pPr>
      <w:r w:rsidRPr="00DC26A8">
        <w:rPr>
          <w:sz w:val="24"/>
          <w:szCs w:val="24"/>
        </w:rPr>
        <w:t>Any exceptions to this standard must follow the procedures established in CHFS IT Policy #070.203.</w:t>
      </w:r>
    </w:p>
    <w:p w14:paraId="1412205F" w14:textId="77777777" w:rsidR="001558B1" w:rsidRPr="00DC26A8" w:rsidRDefault="001558B1" w:rsidP="00985C7E">
      <w:pPr>
        <w:jc w:val="both"/>
        <w:rPr>
          <w:b/>
          <w:sz w:val="24"/>
          <w:szCs w:val="24"/>
        </w:rPr>
      </w:pPr>
    </w:p>
    <w:p w14:paraId="1670947C" w14:textId="77777777" w:rsidR="00C53951" w:rsidRPr="00DC26A8" w:rsidRDefault="00C53951" w:rsidP="00C53951">
      <w:pPr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Review Cycle:</w:t>
      </w:r>
    </w:p>
    <w:p w14:paraId="77FD26D2" w14:textId="77777777" w:rsidR="00C53951" w:rsidRPr="00DC26A8" w:rsidRDefault="00C53951" w:rsidP="00C53951">
      <w:pPr>
        <w:rPr>
          <w:sz w:val="24"/>
          <w:szCs w:val="24"/>
        </w:rPr>
      </w:pPr>
      <w:r w:rsidRPr="00DC26A8">
        <w:rPr>
          <w:sz w:val="24"/>
          <w:szCs w:val="24"/>
        </w:rPr>
        <w:t>Annually</w:t>
      </w:r>
    </w:p>
    <w:p w14:paraId="45C734F5" w14:textId="77777777" w:rsidR="00C53951" w:rsidRPr="00DC26A8" w:rsidRDefault="00C53951" w:rsidP="00C53951">
      <w:pPr>
        <w:rPr>
          <w:sz w:val="24"/>
          <w:szCs w:val="24"/>
        </w:rPr>
      </w:pPr>
    </w:p>
    <w:p w14:paraId="06477FC9" w14:textId="77777777" w:rsidR="00C53951" w:rsidRPr="00DC26A8" w:rsidRDefault="00C53951" w:rsidP="00C53951">
      <w:pPr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Timeline:</w:t>
      </w:r>
    </w:p>
    <w:p w14:paraId="7FFE0141" w14:textId="30E66CC6" w:rsidR="003860D1" w:rsidRPr="00DC26A8" w:rsidRDefault="003860D1" w:rsidP="003860D1">
      <w:pPr>
        <w:pStyle w:val="BodyText"/>
        <w:spacing w:after="0"/>
        <w:jc w:val="both"/>
        <w:rPr>
          <w:szCs w:val="24"/>
        </w:rPr>
      </w:pPr>
      <w:r w:rsidRPr="00DC26A8">
        <w:rPr>
          <w:szCs w:val="24"/>
        </w:rPr>
        <w:t>Last reviewed:</w:t>
      </w:r>
      <w:r w:rsidRPr="00DC26A8">
        <w:rPr>
          <w:szCs w:val="24"/>
        </w:rPr>
        <w:tab/>
      </w:r>
      <w:r w:rsidRPr="00DC26A8">
        <w:rPr>
          <w:szCs w:val="24"/>
        </w:rPr>
        <w:tab/>
      </w:r>
      <w:r w:rsidR="007F68C1">
        <w:rPr>
          <w:szCs w:val="24"/>
        </w:rPr>
        <w:t>3</w:t>
      </w:r>
      <w:r w:rsidRPr="00DC26A8">
        <w:rPr>
          <w:szCs w:val="24"/>
        </w:rPr>
        <w:t>/</w:t>
      </w:r>
      <w:r w:rsidR="007F68C1">
        <w:rPr>
          <w:szCs w:val="24"/>
        </w:rPr>
        <w:t>3</w:t>
      </w:r>
      <w:r w:rsidR="00B71BFE">
        <w:rPr>
          <w:szCs w:val="24"/>
        </w:rPr>
        <w:t>1</w:t>
      </w:r>
      <w:r w:rsidRPr="00DC26A8">
        <w:rPr>
          <w:szCs w:val="24"/>
        </w:rPr>
        <w:t>/</w:t>
      </w:r>
      <w:r w:rsidR="00781D61" w:rsidRPr="00DC26A8">
        <w:rPr>
          <w:szCs w:val="24"/>
        </w:rPr>
        <w:t>2</w:t>
      </w:r>
      <w:r w:rsidR="00B86A7C">
        <w:rPr>
          <w:szCs w:val="24"/>
        </w:rPr>
        <w:t>5</w:t>
      </w:r>
    </w:p>
    <w:p w14:paraId="4E832681" w14:textId="12E7B46F" w:rsidR="00E04685" w:rsidRPr="00DC26A8" w:rsidRDefault="003860D1" w:rsidP="003860D1">
      <w:pPr>
        <w:pStyle w:val="BodyText"/>
        <w:spacing w:after="0"/>
        <w:jc w:val="both"/>
        <w:rPr>
          <w:szCs w:val="24"/>
        </w:rPr>
      </w:pPr>
      <w:r w:rsidRPr="00DC26A8">
        <w:rPr>
          <w:szCs w:val="24"/>
        </w:rPr>
        <w:t xml:space="preserve">Next review:  </w:t>
      </w:r>
      <w:r w:rsidRPr="00DC26A8">
        <w:rPr>
          <w:szCs w:val="24"/>
        </w:rPr>
        <w:tab/>
      </w:r>
      <w:r w:rsidRPr="00DC26A8">
        <w:rPr>
          <w:szCs w:val="24"/>
        </w:rPr>
        <w:tab/>
      </w:r>
      <w:r w:rsidR="001A1705">
        <w:rPr>
          <w:szCs w:val="24"/>
        </w:rPr>
        <w:t>3</w:t>
      </w:r>
      <w:r w:rsidRPr="00DC26A8">
        <w:rPr>
          <w:szCs w:val="24"/>
        </w:rPr>
        <w:t>/</w:t>
      </w:r>
      <w:r w:rsidR="007F68C1">
        <w:rPr>
          <w:szCs w:val="24"/>
        </w:rPr>
        <w:t>0</w:t>
      </w:r>
      <w:r w:rsidRPr="00DC26A8">
        <w:rPr>
          <w:szCs w:val="24"/>
        </w:rPr>
        <w:t>1/</w:t>
      </w:r>
      <w:r w:rsidR="00781D61" w:rsidRPr="00DC26A8">
        <w:rPr>
          <w:szCs w:val="24"/>
        </w:rPr>
        <w:t>2</w:t>
      </w:r>
      <w:r w:rsidR="00B86A7C">
        <w:rPr>
          <w:szCs w:val="24"/>
        </w:rPr>
        <w:t>6</w:t>
      </w:r>
    </w:p>
    <w:p w14:paraId="18690180" w14:textId="77777777" w:rsidR="003860D1" w:rsidRPr="00DC26A8" w:rsidRDefault="003860D1" w:rsidP="003860D1">
      <w:pPr>
        <w:pStyle w:val="BodyText"/>
        <w:spacing w:after="0"/>
        <w:jc w:val="both"/>
        <w:rPr>
          <w:b/>
          <w:color w:val="000000"/>
          <w:szCs w:val="24"/>
        </w:rPr>
      </w:pPr>
    </w:p>
    <w:p w14:paraId="0F6B4ECA" w14:textId="77777777" w:rsidR="00E04685" w:rsidRPr="00DC26A8" w:rsidRDefault="00E04685" w:rsidP="00985C7E">
      <w:pPr>
        <w:pStyle w:val="BodyText"/>
        <w:spacing w:after="0"/>
        <w:jc w:val="both"/>
        <w:rPr>
          <w:b/>
          <w:color w:val="000000"/>
          <w:szCs w:val="24"/>
        </w:rPr>
      </w:pPr>
      <w:r w:rsidRPr="00DC26A8">
        <w:rPr>
          <w:b/>
          <w:color w:val="000000"/>
          <w:szCs w:val="24"/>
        </w:rPr>
        <w:t>Cross References</w:t>
      </w:r>
    </w:p>
    <w:p w14:paraId="22BA5335" w14:textId="77777777" w:rsidR="001558B1" w:rsidRPr="00DC26A8" w:rsidRDefault="00E04685" w:rsidP="00985C7E">
      <w:pPr>
        <w:pStyle w:val="BodyText"/>
        <w:numPr>
          <w:ilvl w:val="0"/>
          <w:numId w:val="4"/>
        </w:numPr>
        <w:spacing w:after="0"/>
        <w:jc w:val="both"/>
        <w:rPr>
          <w:color w:val="000000"/>
          <w:szCs w:val="24"/>
        </w:rPr>
      </w:pPr>
      <w:r w:rsidRPr="00DC26A8">
        <w:rPr>
          <w:color w:val="000000"/>
          <w:szCs w:val="24"/>
        </w:rPr>
        <w:lastRenderedPageBreak/>
        <w:t>COT Standard #</w:t>
      </w:r>
      <w:r w:rsidR="001558B1" w:rsidRPr="00DC26A8">
        <w:rPr>
          <w:color w:val="000000"/>
          <w:szCs w:val="24"/>
        </w:rPr>
        <w:t>2310</w:t>
      </w:r>
      <w:r w:rsidRPr="00DC26A8">
        <w:rPr>
          <w:color w:val="000000"/>
          <w:szCs w:val="24"/>
        </w:rPr>
        <w:t xml:space="preserve"> – </w:t>
      </w:r>
      <w:r w:rsidR="001558B1" w:rsidRPr="00DC26A8">
        <w:rPr>
          <w:color w:val="000000"/>
          <w:szCs w:val="24"/>
        </w:rPr>
        <w:t xml:space="preserve">Business Intelligence Software </w:t>
      </w:r>
    </w:p>
    <w:p w14:paraId="6116D817" w14:textId="77777777" w:rsidR="001558B1" w:rsidRPr="00DC26A8" w:rsidRDefault="001558B1" w:rsidP="00985C7E">
      <w:pPr>
        <w:pStyle w:val="BodyText"/>
        <w:numPr>
          <w:ilvl w:val="0"/>
          <w:numId w:val="4"/>
        </w:numPr>
        <w:spacing w:after="0"/>
        <w:jc w:val="both"/>
        <w:rPr>
          <w:color w:val="000000"/>
          <w:szCs w:val="24"/>
        </w:rPr>
      </w:pPr>
      <w:r w:rsidRPr="00DC26A8">
        <w:rPr>
          <w:szCs w:val="24"/>
        </w:rPr>
        <w:t>CHFS Standard #8100</w:t>
      </w:r>
      <w:r w:rsidR="00E04685" w:rsidRPr="00DC26A8">
        <w:rPr>
          <w:szCs w:val="24"/>
        </w:rPr>
        <w:t xml:space="preserve"> – Application Development Methodology and Software</w:t>
      </w:r>
    </w:p>
    <w:p w14:paraId="446CE144" w14:textId="77777777" w:rsidR="00D62204" w:rsidRPr="00DC26A8" w:rsidRDefault="00D62204" w:rsidP="00D62204">
      <w:pPr>
        <w:pStyle w:val="BodyText"/>
        <w:spacing w:after="0"/>
        <w:jc w:val="both"/>
        <w:rPr>
          <w:color w:val="000000"/>
          <w:szCs w:val="24"/>
        </w:rPr>
      </w:pPr>
    </w:p>
    <w:p w14:paraId="200AD1A9" w14:textId="77777777" w:rsidR="00D62204" w:rsidRPr="00DC26A8" w:rsidRDefault="00D62204" w:rsidP="00D62204">
      <w:pPr>
        <w:rPr>
          <w:b/>
        </w:rPr>
      </w:pPr>
    </w:p>
    <w:p w14:paraId="5A19FFB5" w14:textId="77777777" w:rsidR="00D62204" w:rsidRPr="00DC26A8" w:rsidRDefault="00D62204" w:rsidP="00D62204">
      <w:pPr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 xml:space="preserve">Link to all COT Software </w:t>
      </w:r>
      <w:r w:rsidR="0098393D" w:rsidRPr="00DC26A8">
        <w:rPr>
          <w:b/>
          <w:sz w:val="24"/>
          <w:szCs w:val="24"/>
        </w:rPr>
        <w:t xml:space="preserve">Domain </w:t>
      </w:r>
      <w:r w:rsidRPr="00DC26A8">
        <w:rPr>
          <w:b/>
          <w:sz w:val="24"/>
          <w:szCs w:val="24"/>
        </w:rPr>
        <w:t>Standards:</w:t>
      </w:r>
    </w:p>
    <w:p w14:paraId="48C0FF1C" w14:textId="05DF8104" w:rsidR="00EC0A3F" w:rsidRPr="00DC26A8" w:rsidRDefault="00000000" w:rsidP="00D62204">
      <w:pPr>
        <w:rPr>
          <w:sz w:val="24"/>
          <w:szCs w:val="24"/>
        </w:rPr>
      </w:pPr>
      <w:hyperlink r:id="rId11" w:history="1">
        <w:r w:rsidR="00EC0A3F" w:rsidRPr="00DC26A8">
          <w:rPr>
            <w:rStyle w:val="Hyperlink"/>
            <w:sz w:val="24"/>
            <w:szCs w:val="24"/>
          </w:rPr>
          <w:t>KITS_Report.pdf (ky.gov)</w:t>
        </w:r>
      </w:hyperlink>
    </w:p>
    <w:p w14:paraId="1B1704B1" w14:textId="77777777" w:rsidR="00D62204" w:rsidRPr="00DC26A8" w:rsidRDefault="00D62204" w:rsidP="00D62204">
      <w:pPr>
        <w:rPr>
          <w:b/>
          <w:sz w:val="24"/>
          <w:szCs w:val="24"/>
        </w:rPr>
      </w:pPr>
    </w:p>
    <w:p w14:paraId="5D1BB6FE" w14:textId="77777777" w:rsidR="00D62204" w:rsidRPr="00DC26A8" w:rsidRDefault="00D62204" w:rsidP="00D62204">
      <w:pPr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Link to all CHFS IT Standards:</w:t>
      </w:r>
    </w:p>
    <w:p w14:paraId="4B446183" w14:textId="77777777" w:rsidR="00EC0A3F" w:rsidRPr="00DC26A8" w:rsidRDefault="00000000" w:rsidP="00D62204">
      <w:pPr>
        <w:rPr>
          <w:sz w:val="24"/>
          <w:szCs w:val="24"/>
        </w:rPr>
      </w:pPr>
      <w:hyperlink r:id="rId12" w:history="1">
        <w:r w:rsidR="00EC0A3F" w:rsidRPr="00DC26A8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6629C9AB" w14:textId="77777777" w:rsidR="00D62204" w:rsidRPr="00DC26A8" w:rsidRDefault="00D62204" w:rsidP="00D62204">
      <w:pPr>
        <w:rPr>
          <w:b/>
          <w:sz w:val="24"/>
          <w:szCs w:val="24"/>
        </w:rPr>
      </w:pPr>
    </w:p>
    <w:p w14:paraId="6C2AA16D" w14:textId="77777777" w:rsidR="00D62204" w:rsidRPr="00DC26A8" w:rsidRDefault="00D62204" w:rsidP="00D62204">
      <w:pPr>
        <w:rPr>
          <w:b/>
          <w:sz w:val="24"/>
          <w:szCs w:val="24"/>
        </w:rPr>
      </w:pPr>
      <w:r w:rsidRPr="00DC26A8">
        <w:rPr>
          <w:b/>
          <w:sz w:val="24"/>
          <w:szCs w:val="24"/>
        </w:rPr>
        <w:t>Link to all CHFS IT Policies:</w:t>
      </w:r>
    </w:p>
    <w:p w14:paraId="50FE1FE0" w14:textId="0D984220" w:rsidR="00D62204" w:rsidRPr="00A56255" w:rsidRDefault="00000000" w:rsidP="00D62204">
      <w:pPr>
        <w:pStyle w:val="BodyText"/>
        <w:spacing w:after="0"/>
        <w:jc w:val="both"/>
        <w:rPr>
          <w:color w:val="000000"/>
          <w:szCs w:val="24"/>
        </w:rPr>
      </w:pPr>
      <w:hyperlink r:id="rId13" w:history="1">
        <w:r w:rsidR="00EC0A3F" w:rsidRPr="00DC26A8">
          <w:rPr>
            <w:rStyle w:val="Hyperlink"/>
            <w:szCs w:val="24"/>
          </w:rPr>
          <w:t>CHFS IT Policies - Cabinet for Health and Family Services (ky.gov)</w:t>
        </w:r>
      </w:hyperlink>
    </w:p>
    <w:sectPr w:rsidR="00D62204" w:rsidRPr="00A56255" w:rsidSect="00465AB8">
      <w:footerReference w:type="default" r:id="rId14"/>
      <w:pgSz w:w="12240" w:h="15840"/>
      <w:pgMar w:top="1170" w:right="1440" w:bottom="900" w:left="1440" w:header="720" w:footer="5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C4EE1" w14:textId="77777777" w:rsidR="00E30B86" w:rsidRDefault="00E30B86">
      <w:r>
        <w:separator/>
      </w:r>
    </w:p>
  </w:endnote>
  <w:endnote w:type="continuationSeparator" w:id="0">
    <w:p w14:paraId="404DB5E1" w14:textId="77777777" w:rsidR="00E30B86" w:rsidRDefault="00E3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2C29" w14:textId="4D23548B" w:rsidR="008362ED" w:rsidRDefault="008362ED">
    <w:pPr>
      <w:pStyle w:val="Footer"/>
    </w:pPr>
    <w:r w:rsidRPr="00F8288C">
      <w:t xml:space="preserve">Page </w:t>
    </w:r>
    <w:r w:rsidR="00B9693C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PAGE </w:instrText>
    </w:r>
    <w:r w:rsidR="00B9693C" w:rsidRPr="00F8288C">
      <w:rPr>
        <w:rStyle w:val="PageNumber"/>
      </w:rPr>
      <w:fldChar w:fldCharType="separate"/>
    </w:r>
    <w:r w:rsidR="00E15E59">
      <w:rPr>
        <w:rStyle w:val="PageNumber"/>
        <w:noProof/>
      </w:rPr>
      <w:t>2</w:t>
    </w:r>
    <w:r w:rsidR="00B9693C" w:rsidRPr="00F8288C">
      <w:rPr>
        <w:rStyle w:val="PageNumber"/>
      </w:rPr>
      <w:fldChar w:fldCharType="end"/>
    </w:r>
    <w:r w:rsidRPr="00F8288C">
      <w:rPr>
        <w:rStyle w:val="PageNumber"/>
      </w:rPr>
      <w:t xml:space="preserve"> of </w:t>
    </w:r>
    <w:r w:rsidR="00B9693C" w:rsidRPr="00F8288C">
      <w:rPr>
        <w:rStyle w:val="PageNumber"/>
      </w:rPr>
      <w:fldChar w:fldCharType="begin"/>
    </w:r>
    <w:r w:rsidRPr="00F8288C">
      <w:rPr>
        <w:rStyle w:val="PageNumber"/>
      </w:rPr>
      <w:instrText xml:space="preserve"> NUMPAGES </w:instrText>
    </w:r>
    <w:r w:rsidR="00B9693C" w:rsidRPr="00F8288C">
      <w:rPr>
        <w:rStyle w:val="PageNumber"/>
      </w:rPr>
      <w:fldChar w:fldCharType="separate"/>
    </w:r>
    <w:r w:rsidR="00E15E59">
      <w:rPr>
        <w:rStyle w:val="PageNumber"/>
        <w:noProof/>
      </w:rPr>
      <w:t>2</w:t>
    </w:r>
    <w:r w:rsidR="00B9693C" w:rsidRPr="00F8288C">
      <w:rPr>
        <w:rStyle w:val="PageNumber"/>
      </w:rPr>
      <w:fldChar w:fldCharType="end"/>
    </w:r>
    <w:r w:rsidRPr="00F63E17">
      <w:tab/>
    </w:r>
    <w:r w:rsidRPr="00F63E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C63D" w14:textId="77777777" w:rsidR="00E30B86" w:rsidRDefault="00E30B86">
      <w:r>
        <w:separator/>
      </w:r>
    </w:p>
  </w:footnote>
  <w:footnote w:type="continuationSeparator" w:id="0">
    <w:p w14:paraId="741754B6" w14:textId="77777777" w:rsidR="00E30B86" w:rsidRDefault="00E3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60921"/>
    <w:multiLevelType w:val="hybridMultilevel"/>
    <w:tmpl w:val="CBA2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69C"/>
    <w:multiLevelType w:val="hybridMultilevel"/>
    <w:tmpl w:val="3C923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46C4C"/>
    <w:multiLevelType w:val="hybridMultilevel"/>
    <w:tmpl w:val="943EA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D69B2"/>
    <w:multiLevelType w:val="hybridMultilevel"/>
    <w:tmpl w:val="4ABA4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7260100">
    <w:abstractNumId w:val="1"/>
  </w:num>
  <w:num w:numId="2" w16cid:durableId="1837845951">
    <w:abstractNumId w:val="3"/>
  </w:num>
  <w:num w:numId="3" w16cid:durableId="1585919839">
    <w:abstractNumId w:val="2"/>
  </w:num>
  <w:num w:numId="4" w16cid:durableId="728069521">
    <w:abstractNumId w:val="4"/>
  </w:num>
  <w:num w:numId="5" w16cid:durableId="1446464860">
    <w:abstractNumId w:val="1"/>
  </w:num>
  <w:num w:numId="6" w16cid:durableId="107134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4A"/>
    <w:rsid w:val="000155D7"/>
    <w:rsid w:val="00036764"/>
    <w:rsid w:val="00042980"/>
    <w:rsid w:val="000606D9"/>
    <w:rsid w:val="00067AFF"/>
    <w:rsid w:val="00080974"/>
    <w:rsid w:val="000A28ED"/>
    <w:rsid w:val="000B260E"/>
    <w:rsid w:val="000B2D26"/>
    <w:rsid w:val="000B4529"/>
    <w:rsid w:val="001349BE"/>
    <w:rsid w:val="00141004"/>
    <w:rsid w:val="001558B1"/>
    <w:rsid w:val="00180A50"/>
    <w:rsid w:val="001841FD"/>
    <w:rsid w:val="001A1705"/>
    <w:rsid w:val="001A63B2"/>
    <w:rsid w:val="00206E4A"/>
    <w:rsid w:val="00226A6B"/>
    <w:rsid w:val="00234930"/>
    <w:rsid w:val="00274E04"/>
    <w:rsid w:val="002941CC"/>
    <w:rsid w:val="002E428A"/>
    <w:rsid w:val="002F694C"/>
    <w:rsid w:val="00312DFC"/>
    <w:rsid w:val="00347F44"/>
    <w:rsid w:val="003534A5"/>
    <w:rsid w:val="003860D1"/>
    <w:rsid w:val="003B4D83"/>
    <w:rsid w:val="003B6827"/>
    <w:rsid w:val="003C6912"/>
    <w:rsid w:val="003D68FF"/>
    <w:rsid w:val="003D7B4C"/>
    <w:rsid w:val="0040289F"/>
    <w:rsid w:val="004342F9"/>
    <w:rsid w:val="00452B36"/>
    <w:rsid w:val="00453C35"/>
    <w:rsid w:val="00465AB8"/>
    <w:rsid w:val="004702E5"/>
    <w:rsid w:val="00496412"/>
    <w:rsid w:val="00544DE5"/>
    <w:rsid w:val="00562C8F"/>
    <w:rsid w:val="005923B5"/>
    <w:rsid w:val="005A46A8"/>
    <w:rsid w:val="005C5F02"/>
    <w:rsid w:val="005D32C1"/>
    <w:rsid w:val="005F536A"/>
    <w:rsid w:val="00636ABE"/>
    <w:rsid w:val="00682756"/>
    <w:rsid w:val="006946FA"/>
    <w:rsid w:val="006A0A63"/>
    <w:rsid w:val="006B67C5"/>
    <w:rsid w:val="006F0F76"/>
    <w:rsid w:val="00705C6C"/>
    <w:rsid w:val="007358CA"/>
    <w:rsid w:val="00741E04"/>
    <w:rsid w:val="00761FF6"/>
    <w:rsid w:val="00781D61"/>
    <w:rsid w:val="00785B6D"/>
    <w:rsid w:val="007A5720"/>
    <w:rsid w:val="007A5B6E"/>
    <w:rsid w:val="007B22AC"/>
    <w:rsid w:val="007B5E2C"/>
    <w:rsid w:val="007B7D0C"/>
    <w:rsid w:val="007F68C1"/>
    <w:rsid w:val="00830BBE"/>
    <w:rsid w:val="008362ED"/>
    <w:rsid w:val="00887C6F"/>
    <w:rsid w:val="00890581"/>
    <w:rsid w:val="008B07E3"/>
    <w:rsid w:val="008E0089"/>
    <w:rsid w:val="00904C31"/>
    <w:rsid w:val="00913F47"/>
    <w:rsid w:val="00916A8A"/>
    <w:rsid w:val="00950B3E"/>
    <w:rsid w:val="00955F4B"/>
    <w:rsid w:val="00962FBF"/>
    <w:rsid w:val="00965133"/>
    <w:rsid w:val="0098393D"/>
    <w:rsid w:val="00983D25"/>
    <w:rsid w:val="00985C7E"/>
    <w:rsid w:val="009A4098"/>
    <w:rsid w:val="009B24B0"/>
    <w:rsid w:val="009D27F1"/>
    <w:rsid w:val="009D4B11"/>
    <w:rsid w:val="009D7AAC"/>
    <w:rsid w:val="009F1635"/>
    <w:rsid w:val="009F5F87"/>
    <w:rsid w:val="00A0794D"/>
    <w:rsid w:val="00A26655"/>
    <w:rsid w:val="00A43BCA"/>
    <w:rsid w:val="00A56255"/>
    <w:rsid w:val="00AA24F1"/>
    <w:rsid w:val="00AB3560"/>
    <w:rsid w:val="00AE29CF"/>
    <w:rsid w:val="00B45E08"/>
    <w:rsid w:val="00B71BFE"/>
    <w:rsid w:val="00B820FF"/>
    <w:rsid w:val="00B86A7C"/>
    <w:rsid w:val="00B9693C"/>
    <w:rsid w:val="00BE1F75"/>
    <w:rsid w:val="00BF6377"/>
    <w:rsid w:val="00C16A68"/>
    <w:rsid w:val="00C23199"/>
    <w:rsid w:val="00C53951"/>
    <w:rsid w:val="00C65337"/>
    <w:rsid w:val="00C7770E"/>
    <w:rsid w:val="00C83A53"/>
    <w:rsid w:val="00C93A5D"/>
    <w:rsid w:val="00CD1F99"/>
    <w:rsid w:val="00CD3188"/>
    <w:rsid w:val="00D24744"/>
    <w:rsid w:val="00D25E4E"/>
    <w:rsid w:val="00D26498"/>
    <w:rsid w:val="00D40EB2"/>
    <w:rsid w:val="00D62204"/>
    <w:rsid w:val="00D767C9"/>
    <w:rsid w:val="00D91C80"/>
    <w:rsid w:val="00DA4180"/>
    <w:rsid w:val="00DB393F"/>
    <w:rsid w:val="00DC26A8"/>
    <w:rsid w:val="00DF7552"/>
    <w:rsid w:val="00E04685"/>
    <w:rsid w:val="00E14A72"/>
    <w:rsid w:val="00E15E59"/>
    <w:rsid w:val="00E21540"/>
    <w:rsid w:val="00E30B86"/>
    <w:rsid w:val="00E65D72"/>
    <w:rsid w:val="00E8156C"/>
    <w:rsid w:val="00E83CE8"/>
    <w:rsid w:val="00EA0760"/>
    <w:rsid w:val="00EB4DAC"/>
    <w:rsid w:val="00EC0A3F"/>
    <w:rsid w:val="00EE1DC1"/>
    <w:rsid w:val="00EE4C16"/>
    <w:rsid w:val="00F00FB9"/>
    <w:rsid w:val="00F13EE3"/>
    <w:rsid w:val="00F6420F"/>
    <w:rsid w:val="00F802BE"/>
    <w:rsid w:val="00F87665"/>
    <w:rsid w:val="00F95189"/>
    <w:rsid w:val="00FA7A0B"/>
    <w:rsid w:val="00FD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61386"/>
  <w15:docId w15:val="{A4358C6E-EE0D-40AC-B02D-800FA76F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E4A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206E4A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206E4A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7B5E2C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06E4A"/>
    <w:pPr>
      <w:spacing w:after="240"/>
    </w:pPr>
    <w:rPr>
      <w:sz w:val="24"/>
    </w:rPr>
  </w:style>
  <w:style w:type="character" w:styleId="Hyperlink">
    <w:name w:val="Hyperlink"/>
    <w:rsid w:val="00206E4A"/>
    <w:rPr>
      <w:color w:val="0000FF"/>
      <w:u w:val="single"/>
    </w:rPr>
  </w:style>
  <w:style w:type="paragraph" w:styleId="BalloonText">
    <w:name w:val="Balloon Text"/>
    <w:basedOn w:val="Normal"/>
    <w:semiHidden/>
    <w:rsid w:val="00DF75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35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5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560"/>
  </w:style>
  <w:style w:type="paragraph" w:styleId="BodyTextIndent">
    <w:name w:val="Body Text Indent"/>
    <w:basedOn w:val="Normal"/>
    <w:rsid w:val="001558B1"/>
    <w:pPr>
      <w:spacing w:after="120"/>
      <w:ind w:left="360"/>
    </w:pPr>
  </w:style>
  <w:style w:type="character" w:styleId="FollowedHyperlink">
    <w:name w:val="FollowedHyperlink"/>
    <w:rsid w:val="0098393D"/>
    <w:rPr>
      <w:color w:val="800080"/>
      <w:u w:val="single"/>
    </w:rPr>
  </w:style>
  <w:style w:type="character" w:styleId="CommentReference">
    <w:name w:val="annotation reference"/>
    <w:basedOn w:val="DefaultParagraphFont"/>
    <w:semiHidden/>
    <w:unhideWhenUsed/>
    <w:rsid w:val="00067A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7AFF"/>
  </w:style>
  <w:style w:type="character" w:customStyle="1" w:styleId="CommentTextChar">
    <w:name w:val="Comment Text Char"/>
    <w:basedOn w:val="DefaultParagraphFont"/>
    <w:link w:val="CommentText"/>
    <w:semiHidden/>
    <w:rsid w:val="00067AF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AFF"/>
    <w:rPr>
      <w:b/>
      <w:bCs/>
      <w:snapToGrid w:val="0"/>
    </w:rPr>
  </w:style>
  <w:style w:type="table" w:styleId="TableGrid">
    <w:name w:val="Table Grid"/>
    <w:basedOn w:val="TableNormal"/>
    <w:rsid w:val="00E2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A1705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fs.ky.gov/agencies/os/oats/Pages/it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chnology.ky.gov/about-the-agency/Documents/KITS_Repor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3BA0D8D-44D9-423A-9DDA-2F69773067EB}">
  <ds:schemaRefs>
    <ds:schemaRef ds:uri="http://schemas.microsoft.com/office/2006/metadata/properties"/>
    <ds:schemaRef ds:uri="316c6df3-ccae-4f20-9035-90ad8bd12d2b"/>
  </ds:schemaRefs>
</ds:datastoreItem>
</file>

<file path=customXml/itemProps2.xml><?xml version="1.0" encoding="utf-8"?>
<ds:datastoreItem xmlns:ds="http://schemas.openxmlformats.org/officeDocument/2006/customXml" ds:itemID="{7766EA23-AFB8-4C1A-9F96-CA3DBE3A5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B6743-760C-49D6-9CDE-6110B0CFC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918B5-5CC7-4EFD-B0B2-8C212D7B6D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2310 - BI and Reporting Software Standard</vt:lpstr>
    </vt:vector>
  </TitlesOfParts>
  <Company>Commonwealth of Kentucky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2310 - BI and Reporting Software Standard</dc:title>
  <dc:subject/>
  <dc:creator>Srinivas.Dharani@ky.gov</dc:creator>
  <cp:keywords/>
  <cp:lastModifiedBy>Bartley, Megan (CHFS OATS DES)</cp:lastModifiedBy>
  <cp:revision>2</cp:revision>
  <cp:lastPrinted>2008-03-05T13:50:00Z</cp:lastPrinted>
  <dcterms:created xsi:type="dcterms:W3CDTF">2025-04-02T23:12:00Z</dcterms:created>
  <dcterms:modified xsi:type="dcterms:W3CDTF">2025-04-02T23:12:00Z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0x0101004A6B80B5454FBE4896EA5F98485B41B4</vt:lpwstr>
  </property>
  <property fmtid="{D5CDD505-2E9C-101B-9397-08002B2CF9AE}" pid="5" name="Order">
    <vt:r8>42400</vt:r8>
  </property>
  <property fmtid="{D5CDD505-2E9C-101B-9397-08002B2CF9AE}" pid="6" name="CrossRefsChecked?">
    <vt:bool>false</vt:bool>
  </property>
</Properties>
</file>