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774" w:rsidRPr="002D3E3D" w:rsidRDefault="008D5774" w:rsidP="008D577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D3E3D">
        <w:rPr>
          <w:b/>
          <w:sz w:val="28"/>
          <w:szCs w:val="28"/>
        </w:rPr>
        <w:t xml:space="preserve">Protocol for Administration of Hepatitis A </w:t>
      </w:r>
      <w:r w:rsidRPr="002D3E3D">
        <w:rPr>
          <w:rFonts w:ascii="Times New Roman Bold" w:hAnsi="Times New Roman Bold"/>
          <w:b/>
          <w:sz w:val="28"/>
          <w:szCs w:val="28"/>
        </w:rPr>
        <w:t>(</w:t>
      </w:r>
      <w:proofErr w:type="spellStart"/>
      <w:r w:rsidRPr="002D3E3D">
        <w:rPr>
          <w:rFonts w:ascii="Times New Roman Bold" w:hAnsi="Times New Roman Bold"/>
          <w:b/>
          <w:sz w:val="28"/>
          <w:szCs w:val="28"/>
        </w:rPr>
        <w:t>HepA</w:t>
      </w:r>
      <w:proofErr w:type="spellEnd"/>
      <w:r w:rsidRPr="002D3E3D">
        <w:rPr>
          <w:rFonts w:ascii="Times New Roman Bold" w:hAnsi="Times New Roman Bold"/>
          <w:b/>
          <w:sz w:val="28"/>
          <w:szCs w:val="28"/>
        </w:rPr>
        <w:t>)</w:t>
      </w:r>
      <w:r w:rsidRPr="002D3E3D">
        <w:rPr>
          <w:b/>
          <w:sz w:val="28"/>
          <w:szCs w:val="28"/>
        </w:rPr>
        <w:t xml:space="preserve"> Vaccine </w:t>
      </w:r>
    </w:p>
    <w:p w:rsidR="008D5774" w:rsidRDefault="008D5774" w:rsidP="008D5774">
      <w:pPr>
        <w:autoSpaceDE w:val="0"/>
        <w:autoSpaceDN w:val="0"/>
        <w:adjustRightInd w:val="0"/>
        <w:rPr>
          <w:szCs w:val="24"/>
        </w:rPr>
      </w:pPr>
    </w:p>
    <w:p w:rsidR="008D5774" w:rsidRPr="00C74A67" w:rsidRDefault="008D5774" w:rsidP="008D5774">
      <w:pPr>
        <w:autoSpaceDE w:val="0"/>
        <w:autoSpaceDN w:val="0"/>
        <w:adjustRightInd w:val="0"/>
        <w:rPr>
          <w:szCs w:val="24"/>
        </w:rPr>
      </w:pPr>
    </w:p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rPr>
          <w:b/>
          <w:u w:val="single"/>
        </w:rPr>
        <w:t>Precautions and Contraindications</w:t>
      </w:r>
    </w:p>
    <w:p w:rsidR="008D5774" w:rsidRPr="001A3657" w:rsidRDefault="008D5774" w:rsidP="008D5774">
      <w:pPr>
        <w:autoSpaceDE w:val="0"/>
        <w:autoSpaceDN w:val="0"/>
        <w:adjustRightInd w:val="0"/>
        <w:spacing w:after="120"/>
      </w:pPr>
      <w:r w:rsidRPr="001A3657">
        <w:t>Screen all patients for precautions and contraindications to immunization.</w:t>
      </w:r>
    </w:p>
    <w:p w:rsidR="008D5774" w:rsidRPr="00C74A67" w:rsidRDefault="008D5774" w:rsidP="008D5774">
      <w:pPr>
        <w:widowControl w:val="0"/>
        <w:rPr>
          <w:bCs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rFonts w:ascii="Times New Roman Bold"/>
          <w:b/>
          <w:u w:val="single"/>
        </w:rPr>
      </w:pPr>
      <w:r w:rsidRPr="001A3657">
        <w:rPr>
          <w:rFonts w:ascii="Times New Roman Bold"/>
          <w:b/>
          <w:u w:val="single"/>
        </w:rPr>
        <w:t>Indications (Pre-exposure)</w:t>
      </w:r>
      <w:r>
        <w:rPr>
          <w:rFonts w:ascii="Times New Roman Bold"/>
          <w:b/>
          <w:u w:val="single"/>
        </w:rPr>
        <w:t xml:space="preserve"> </w:t>
      </w:r>
      <w:r w:rsidRPr="001A3657">
        <w:rPr>
          <w:rFonts w:ascii="Times New Roman Bold"/>
          <w:b/>
          <w:u w:val="single"/>
        </w:rPr>
        <w:t>*</w:t>
      </w:r>
    </w:p>
    <w:p w:rsidR="008D5774" w:rsidRPr="001A3657" w:rsidRDefault="008D5774" w:rsidP="008D5774">
      <w:pPr>
        <w:autoSpaceDE w:val="0"/>
        <w:autoSpaceDN w:val="0"/>
        <w:adjustRightInd w:val="0"/>
        <w:ind w:left="360"/>
      </w:pPr>
    </w:p>
    <w:p w:rsidR="008D5774" w:rsidRPr="001A3657" w:rsidRDefault="008D5774" w:rsidP="008D5774">
      <w:pPr>
        <w:autoSpaceDE w:val="0"/>
        <w:autoSpaceDN w:val="0"/>
        <w:adjustRightInd w:val="0"/>
        <w:spacing w:after="120"/>
        <w:ind w:left="360"/>
      </w:pPr>
      <w:r w:rsidRPr="001A3657">
        <w:t xml:space="preserve">ACIP recommends </w:t>
      </w:r>
      <w:proofErr w:type="spellStart"/>
      <w:r>
        <w:t>Hep</w:t>
      </w:r>
      <w:r w:rsidRPr="001A3657">
        <w:t>A</w:t>
      </w:r>
      <w:proofErr w:type="spellEnd"/>
      <w:r w:rsidRPr="001A3657">
        <w:t xml:space="preserve"> vaccination for pre-exposure protection from hepatitis A virus (HAV) infection for the following previously unvaccinated persons:</w:t>
      </w:r>
    </w:p>
    <w:p w:rsidR="008D5774" w:rsidRPr="001A3657" w:rsidRDefault="008D5774" w:rsidP="008D5774">
      <w:pPr>
        <w:numPr>
          <w:ilvl w:val="0"/>
          <w:numId w:val="3"/>
        </w:numPr>
        <w:autoSpaceDE w:val="0"/>
        <w:autoSpaceDN w:val="0"/>
        <w:adjustRightInd w:val="0"/>
        <w:spacing w:after="120"/>
      </w:pPr>
      <w:r w:rsidRPr="001A3657">
        <w:rPr>
          <w:b/>
        </w:rPr>
        <w:t>Routine vaccination</w:t>
      </w:r>
      <w:r w:rsidRPr="001A3657">
        <w:t>:  All children aged 12 through 23 months</w:t>
      </w:r>
    </w:p>
    <w:p w:rsidR="008D5774" w:rsidRPr="001A3657" w:rsidRDefault="008D5774" w:rsidP="008D5774">
      <w:pPr>
        <w:numPr>
          <w:ilvl w:val="0"/>
          <w:numId w:val="3"/>
        </w:numPr>
        <w:autoSpaceDE w:val="0"/>
        <w:autoSpaceDN w:val="0"/>
        <w:adjustRightInd w:val="0"/>
        <w:spacing w:after="120"/>
      </w:pPr>
      <w:r w:rsidRPr="001A3657">
        <w:rPr>
          <w:b/>
        </w:rPr>
        <w:t>Catch-up vaccination</w:t>
      </w:r>
      <w:r w:rsidRPr="001A3657">
        <w:t xml:space="preserve"> of unvaccinated children aged </w:t>
      </w:r>
      <w:r>
        <w:t>two</w:t>
      </w:r>
      <w:r w:rsidRPr="001A3657">
        <w:t xml:space="preserve"> through 18 years</w:t>
      </w:r>
    </w:p>
    <w:p w:rsidR="008D5774" w:rsidRPr="001A3657" w:rsidRDefault="008D5774" w:rsidP="008D5774">
      <w:pPr>
        <w:numPr>
          <w:ilvl w:val="0"/>
          <w:numId w:val="3"/>
        </w:numPr>
        <w:autoSpaceDE w:val="0"/>
        <w:autoSpaceDN w:val="0"/>
        <w:adjustRightInd w:val="0"/>
        <w:spacing w:after="120"/>
      </w:pPr>
      <w:r w:rsidRPr="001A3657">
        <w:t>All persons aged 19 years and older seeking protection from hepatitis A virus (HAV) infection.</w:t>
      </w:r>
    </w:p>
    <w:p w:rsidR="008D5774" w:rsidRPr="001A3657" w:rsidRDefault="008D5774" w:rsidP="008D5774">
      <w:pPr>
        <w:numPr>
          <w:ilvl w:val="0"/>
          <w:numId w:val="3"/>
        </w:numPr>
        <w:autoSpaceDE w:val="0"/>
        <w:autoSpaceDN w:val="0"/>
        <w:adjustRightInd w:val="0"/>
        <w:spacing w:after="120"/>
      </w:pPr>
      <w:r w:rsidRPr="001A3657">
        <w:rPr>
          <w:b/>
        </w:rPr>
        <w:t>Persons in special populations</w:t>
      </w:r>
      <w:r w:rsidRPr="001A3657">
        <w:t xml:space="preserve"> at increased risk for HAV infection, including: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Persons traveling to or working in countries that have high or intermediate </w:t>
      </w:r>
      <w:proofErr w:type="spellStart"/>
      <w:r w:rsidRPr="001A3657">
        <w:t>endemicity</w:t>
      </w:r>
      <w:proofErr w:type="spellEnd"/>
      <w:r w:rsidRPr="001A3657">
        <w:t xml:space="preserve"> of infection</w:t>
      </w:r>
      <w:r>
        <w:t xml:space="preserve"> </w:t>
      </w:r>
      <w:r w:rsidRPr="001A3657">
        <w:rPr>
          <w:szCs w:val="18"/>
        </w:rPr>
        <w:t>*</w:t>
      </w:r>
      <w:r w:rsidRPr="001A3657">
        <w:t xml:space="preserve">;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Men having sex with men;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Persons who use injection and non-injection illicit drugs;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Persons with clotting-factor disorders;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Persons with chronic liver disease; and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Persons working with HAV-infected primates or with HAV in a research laboratory;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</w:pPr>
      <w:r w:rsidRPr="001A3657">
        <w:t xml:space="preserve">Persons who anticipate close personal contact (e.g., household contact or regular babysitting) with an international adoptee from a country of high or intermediate </w:t>
      </w:r>
      <w:proofErr w:type="spellStart"/>
      <w:r w:rsidRPr="001A3657">
        <w:t>endemicity</w:t>
      </w:r>
      <w:proofErr w:type="spellEnd"/>
      <w:r w:rsidRPr="001A3657">
        <w:t xml:space="preserve"> during the first 60 days following arrival of the adoptee in the United States.  </w:t>
      </w:r>
    </w:p>
    <w:p w:rsidR="008D5774" w:rsidRPr="001A3657" w:rsidRDefault="008D5774" w:rsidP="008D5774">
      <w:pPr>
        <w:numPr>
          <w:ilvl w:val="1"/>
          <w:numId w:val="3"/>
        </w:numPr>
        <w:autoSpaceDE w:val="0"/>
        <w:autoSpaceDN w:val="0"/>
        <w:adjustRightInd w:val="0"/>
        <w:spacing w:after="60"/>
        <w:ind w:left="1440"/>
        <w:rPr>
          <w:szCs w:val="24"/>
        </w:rPr>
      </w:pPr>
      <w:r w:rsidRPr="001A3657">
        <w:rPr>
          <w:szCs w:val="24"/>
        </w:rPr>
        <w:t>Food service workers who work in areas where community-wide hepatitis A outbreaks are occurring and where state and local health authorities or private employers determine that such vaccination is cost-effective</w:t>
      </w:r>
    </w:p>
    <w:p w:rsidR="008D5774" w:rsidRPr="001A3657" w:rsidRDefault="008D5774" w:rsidP="008D5774">
      <w:pPr>
        <w:autoSpaceDE w:val="0"/>
        <w:autoSpaceDN w:val="0"/>
        <w:adjustRightInd w:val="0"/>
        <w:ind w:left="1080"/>
      </w:pPr>
    </w:p>
    <w:p w:rsidR="008D5774" w:rsidRPr="001A3657" w:rsidRDefault="008D5774" w:rsidP="008D5774">
      <w:pPr>
        <w:autoSpaceDE w:val="0"/>
        <w:autoSpaceDN w:val="0"/>
        <w:adjustRightInd w:val="0"/>
        <w:ind w:left="864" w:hanging="144"/>
        <w:rPr>
          <w:szCs w:val="18"/>
        </w:rPr>
      </w:pPr>
      <w:r w:rsidRPr="001A3657">
        <w:rPr>
          <w:szCs w:val="18"/>
        </w:rPr>
        <w:t>*</w:t>
      </w:r>
      <w:r w:rsidRPr="001A3657">
        <w:t xml:space="preserve"> </w:t>
      </w:r>
      <w:r w:rsidRPr="001A3657">
        <w:rPr>
          <w:b/>
        </w:rPr>
        <w:t xml:space="preserve">Countries outside the US other than Canada, Australia, New Zealand, Japan, and Western Europe </w:t>
      </w:r>
      <w:proofErr w:type="gramStart"/>
      <w:r w:rsidRPr="001A3657">
        <w:rPr>
          <w:b/>
        </w:rPr>
        <w:t>should be considered</w:t>
      </w:r>
      <w:proofErr w:type="gramEnd"/>
      <w:r w:rsidRPr="001A3657">
        <w:rPr>
          <w:b/>
        </w:rPr>
        <w:t xml:space="preserve"> to have high or intermediate </w:t>
      </w:r>
      <w:proofErr w:type="spellStart"/>
      <w:r w:rsidRPr="001A3657">
        <w:rPr>
          <w:b/>
        </w:rPr>
        <w:t>endemicity</w:t>
      </w:r>
      <w:proofErr w:type="spellEnd"/>
      <w:r w:rsidRPr="001A3657">
        <w:rPr>
          <w:b/>
        </w:rPr>
        <w:t xml:space="preserve"> for hepatitis A virus.</w:t>
      </w:r>
      <w:r w:rsidRPr="001A3657">
        <w:rPr>
          <w:b/>
          <w:szCs w:val="18"/>
        </w:rPr>
        <w:t xml:space="preserve"> </w:t>
      </w:r>
    </w:p>
    <w:p w:rsidR="008D5774" w:rsidRPr="001A3657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Pr="001A3657" w:rsidRDefault="008D5774" w:rsidP="008D5774">
      <w:pPr>
        <w:rPr>
          <w:szCs w:val="18"/>
        </w:rPr>
      </w:pPr>
      <w:r w:rsidRPr="001A3657">
        <w:rPr>
          <w:szCs w:val="18"/>
        </w:rPr>
        <w:br w:type="page"/>
      </w:r>
    </w:p>
    <w:p w:rsidR="008D5774" w:rsidRPr="001A3657" w:rsidRDefault="008D5774" w:rsidP="008D5774">
      <w:pPr>
        <w:keepNext/>
        <w:keepLines/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rPr>
          <w:b/>
          <w:u w:val="single"/>
        </w:rPr>
        <w:lastRenderedPageBreak/>
        <w:t>Recommended Schedule for Single-Antigen Hepatitis A Vaccine Formulations</w:t>
      </w:r>
    </w:p>
    <w:p w:rsidR="008D5774" w:rsidRPr="001A3657" w:rsidRDefault="008D5774" w:rsidP="008D5774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t>All children should receive hepatitis A vaccine (</w:t>
      </w:r>
      <w:proofErr w:type="spellStart"/>
      <w:r w:rsidRPr="001A3657">
        <w:t>HepA</w:t>
      </w:r>
      <w:proofErr w:type="spellEnd"/>
      <w:r w:rsidRPr="001A3657">
        <w:t xml:space="preserve">) at </w:t>
      </w:r>
      <w:r w:rsidRPr="001A3657">
        <w:rPr>
          <w:b/>
        </w:rPr>
        <w:t>one year of age</w:t>
      </w:r>
      <w:r w:rsidRPr="001A3657">
        <w:t xml:space="preserve"> </w:t>
      </w:r>
      <w:r w:rsidRPr="001A3657">
        <w:br/>
        <w:t xml:space="preserve">(i.e., 12 through 23 months of age).  The two doses in the series </w:t>
      </w:r>
      <w:proofErr w:type="gramStart"/>
      <w:r w:rsidRPr="001A3657">
        <w:t>should be administered</w:t>
      </w:r>
      <w:proofErr w:type="gramEnd"/>
      <w:r w:rsidRPr="001A3657">
        <w:t xml:space="preserve"> at least six to 18 months apart. </w:t>
      </w:r>
    </w:p>
    <w:p w:rsidR="008D5774" w:rsidRPr="001A3657" w:rsidRDefault="008D5774" w:rsidP="008D5774">
      <w:pPr>
        <w:numPr>
          <w:ilvl w:val="0"/>
          <w:numId w:val="4"/>
        </w:numPr>
        <w:autoSpaceDE w:val="0"/>
        <w:autoSpaceDN w:val="0"/>
        <w:adjustRightInd w:val="0"/>
        <w:spacing w:after="120"/>
      </w:pPr>
      <w:r w:rsidRPr="001A3657">
        <w:t xml:space="preserve">Children who have received one dose of </w:t>
      </w:r>
      <w:proofErr w:type="spellStart"/>
      <w:r w:rsidRPr="001A3657">
        <w:t>HepA</w:t>
      </w:r>
      <w:proofErr w:type="spellEnd"/>
      <w:r w:rsidRPr="001A3657">
        <w:t xml:space="preserve"> vaccine before age 24 months should receive a second dose </w:t>
      </w:r>
      <w:r>
        <w:t>six</w:t>
      </w:r>
      <w:r w:rsidRPr="001A3657">
        <w:t xml:space="preserve"> to 18 months after the first dose.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szCs w:val="18"/>
        </w:rPr>
      </w:pPr>
      <w:r w:rsidRPr="001A3657">
        <w:rPr>
          <w:szCs w:val="18"/>
        </w:rPr>
        <w:t xml:space="preserve">Children aged 24 months through 18 years should receive a primary dose with one booster dose </w:t>
      </w:r>
      <w:r>
        <w:rPr>
          <w:szCs w:val="18"/>
        </w:rPr>
        <w:t>six</w:t>
      </w:r>
      <w:r w:rsidRPr="001A3657">
        <w:rPr>
          <w:szCs w:val="18"/>
        </w:rPr>
        <w:t xml:space="preserve"> to 18 months later.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szCs w:val="18"/>
        </w:rPr>
      </w:pPr>
      <w:r w:rsidRPr="001A3657">
        <w:rPr>
          <w:szCs w:val="18"/>
        </w:rPr>
        <w:t xml:space="preserve">Adults aged 19 years and older should receive a primary dose with one booster dose </w:t>
      </w:r>
      <w:r w:rsidRPr="001A3657">
        <w:rPr>
          <w:szCs w:val="18"/>
        </w:rPr>
        <w:br/>
      </w:r>
      <w:r>
        <w:rPr>
          <w:szCs w:val="18"/>
        </w:rPr>
        <w:t>six</w:t>
      </w:r>
      <w:r w:rsidRPr="001A3657">
        <w:rPr>
          <w:szCs w:val="18"/>
        </w:rPr>
        <w:t xml:space="preserve"> to 18 months later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18"/>
        </w:rPr>
      </w:pPr>
      <w:r w:rsidRPr="001A3657">
        <w:rPr>
          <w:szCs w:val="18"/>
        </w:rPr>
        <w:t xml:space="preserve">Close contacts of an international adoptee should receive the first dose of the 2-dose HAV series as soon as adoption </w:t>
      </w:r>
      <w:proofErr w:type="gramStart"/>
      <w:r w:rsidRPr="001A3657">
        <w:rPr>
          <w:szCs w:val="18"/>
        </w:rPr>
        <w:t>is planned</w:t>
      </w:r>
      <w:proofErr w:type="gramEnd"/>
      <w:r w:rsidRPr="001A3657">
        <w:rPr>
          <w:szCs w:val="18"/>
        </w:rPr>
        <w:t>, ideally two or more weeks before the arrival of the adoptee in the United States.</w:t>
      </w:r>
    </w:p>
    <w:p w:rsidR="008D5774" w:rsidRPr="001A3657" w:rsidRDefault="008D5774" w:rsidP="008D5774">
      <w:pPr>
        <w:autoSpaceDE w:val="0"/>
        <w:autoSpaceDN w:val="0"/>
        <w:adjustRightInd w:val="0"/>
        <w:ind w:left="720"/>
        <w:rPr>
          <w:szCs w:val="18"/>
        </w:rPr>
      </w:pPr>
    </w:p>
    <w:p w:rsidR="008D5774" w:rsidRPr="001A3657" w:rsidRDefault="008D5774" w:rsidP="008D5774"/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rPr>
          <w:b/>
          <w:u w:val="single"/>
        </w:rPr>
        <w:t>Dosage and Route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18"/>
        </w:rPr>
      </w:pPr>
      <w:r w:rsidRPr="001A3657">
        <w:rPr>
          <w:szCs w:val="18"/>
        </w:rPr>
        <w:t>0.5</w:t>
      </w:r>
      <w:r>
        <w:rPr>
          <w:szCs w:val="18"/>
        </w:rPr>
        <w:t>-</w:t>
      </w:r>
      <w:r w:rsidRPr="001A3657">
        <w:rPr>
          <w:szCs w:val="18"/>
        </w:rPr>
        <w:t>mL, intramuscular (IM) - Infants and children (Pediatric / Adolescent formulation - 12 months through 18 years of age)</w:t>
      </w:r>
    </w:p>
    <w:p w:rsidR="008D5774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18"/>
        </w:rPr>
      </w:pPr>
      <w:r w:rsidRPr="001A3657">
        <w:t>1</w:t>
      </w:r>
      <w:r>
        <w:rPr>
          <w:szCs w:val="18"/>
        </w:rPr>
        <w:t>-</w:t>
      </w:r>
      <w:r w:rsidRPr="001A3657">
        <w:rPr>
          <w:szCs w:val="18"/>
        </w:rPr>
        <w:t>mL intramuscular (IM) – Adults, 19 years of age and older (Adult formulation)</w:t>
      </w:r>
    </w:p>
    <w:p w:rsidR="008D5774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Default="008D5774" w:rsidP="008D5774">
      <w:pPr>
        <w:ind w:left="360"/>
        <w:rPr>
          <w:color w:val="auto"/>
          <w:szCs w:val="24"/>
        </w:rPr>
      </w:pPr>
      <w:r w:rsidRPr="008D5774">
        <w:rPr>
          <w:b/>
          <w:color w:val="auto"/>
          <w:szCs w:val="24"/>
        </w:rPr>
        <w:t>HAVRIX</w:t>
      </w:r>
      <w:r w:rsidRPr="008D5774">
        <w:rPr>
          <w:b/>
          <w:color w:val="auto"/>
          <w:szCs w:val="24"/>
          <w:vertAlign w:val="superscript"/>
        </w:rPr>
        <w:t>®</w:t>
      </w:r>
      <w:r w:rsidRPr="00CF2C5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proofErr w:type="spellStart"/>
      <w:r>
        <w:rPr>
          <w:color w:val="auto"/>
          <w:szCs w:val="24"/>
        </w:rPr>
        <w:t>HepA</w:t>
      </w:r>
      <w:proofErr w:type="spellEnd"/>
      <w:r>
        <w:rPr>
          <w:color w:val="auto"/>
          <w:szCs w:val="24"/>
        </w:rPr>
        <w:t xml:space="preserve"> vaccine manufactured by GlaxoSmithKline) </w:t>
      </w:r>
      <w:r w:rsidRPr="00CF2C59">
        <w:rPr>
          <w:color w:val="auto"/>
          <w:szCs w:val="24"/>
        </w:rPr>
        <w:t xml:space="preserve">is available in two formulations, which differ according to the person’s age: </w:t>
      </w:r>
    </w:p>
    <w:p w:rsidR="008D5774" w:rsidRDefault="008D5774" w:rsidP="008D5774">
      <w:pPr>
        <w:pStyle w:val="ListParagraph"/>
        <w:numPr>
          <w:ilvl w:val="0"/>
          <w:numId w:val="10"/>
        </w:numPr>
        <w:rPr>
          <w:color w:val="auto"/>
          <w:szCs w:val="24"/>
        </w:rPr>
      </w:pPr>
      <w:r>
        <w:rPr>
          <w:color w:val="auto"/>
          <w:szCs w:val="24"/>
        </w:rPr>
        <w:t>P</w:t>
      </w:r>
      <w:r w:rsidRPr="00EF10F0">
        <w:rPr>
          <w:color w:val="auto"/>
          <w:szCs w:val="24"/>
        </w:rPr>
        <w:t>ersons aged 12 months</w:t>
      </w:r>
      <w:r>
        <w:rPr>
          <w:color w:val="auto"/>
          <w:szCs w:val="24"/>
        </w:rPr>
        <w:t xml:space="preserve"> through</w:t>
      </w:r>
      <w:r w:rsidRPr="00EF10F0">
        <w:rPr>
          <w:color w:val="auto"/>
          <w:szCs w:val="24"/>
        </w:rPr>
        <w:t xml:space="preserve">18 years, </w:t>
      </w:r>
      <w:r>
        <w:rPr>
          <w:color w:val="auto"/>
          <w:szCs w:val="24"/>
        </w:rPr>
        <w:t xml:space="preserve">should receive </w:t>
      </w:r>
      <w:r w:rsidRPr="00EF10F0">
        <w:rPr>
          <w:color w:val="auto"/>
          <w:szCs w:val="24"/>
        </w:rPr>
        <w:t xml:space="preserve">720 EL.U. per dose </w:t>
      </w:r>
      <w:r>
        <w:rPr>
          <w:color w:val="auto"/>
          <w:szCs w:val="24"/>
        </w:rPr>
        <w:br/>
      </w:r>
      <w:r w:rsidRPr="00441EAB">
        <w:rPr>
          <w:color w:val="auto"/>
          <w:szCs w:val="24"/>
        </w:rPr>
        <w:t>(0.5</w:t>
      </w:r>
      <w:r>
        <w:rPr>
          <w:color w:val="auto"/>
          <w:szCs w:val="24"/>
        </w:rPr>
        <w:t>-</w:t>
      </w:r>
      <w:r w:rsidRPr="00441EAB">
        <w:rPr>
          <w:color w:val="auto"/>
          <w:szCs w:val="24"/>
        </w:rPr>
        <w:t>mL)</w:t>
      </w:r>
      <w:r>
        <w:rPr>
          <w:color w:val="auto"/>
          <w:szCs w:val="24"/>
        </w:rPr>
        <w:t xml:space="preserve"> </w:t>
      </w:r>
      <w:r w:rsidRPr="00EF10F0">
        <w:rPr>
          <w:color w:val="auto"/>
          <w:szCs w:val="24"/>
        </w:rPr>
        <w:t>in a 2-dose schedule</w:t>
      </w:r>
    </w:p>
    <w:p w:rsidR="008D5774" w:rsidRDefault="008D5774" w:rsidP="008D5774">
      <w:pPr>
        <w:pStyle w:val="ListParagraph"/>
        <w:numPr>
          <w:ilvl w:val="0"/>
          <w:numId w:val="10"/>
        </w:numPr>
        <w:rPr>
          <w:color w:val="auto"/>
          <w:szCs w:val="24"/>
        </w:rPr>
      </w:pPr>
      <w:r>
        <w:rPr>
          <w:color w:val="auto"/>
          <w:szCs w:val="24"/>
        </w:rPr>
        <w:t>P</w:t>
      </w:r>
      <w:r w:rsidRPr="00EF10F0">
        <w:rPr>
          <w:color w:val="auto"/>
          <w:szCs w:val="24"/>
        </w:rPr>
        <w:t xml:space="preserve">ersons aged </w:t>
      </w:r>
      <w:r>
        <w:rPr>
          <w:color w:val="auto"/>
          <w:szCs w:val="24"/>
        </w:rPr>
        <w:t>19</w:t>
      </w:r>
      <w:r w:rsidRPr="00EF10F0">
        <w:rPr>
          <w:color w:val="auto"/>
          <w:szCs w:val="24"/>
        </w:rPr>
        <w:t xml:space="preserve"> years</w:t>
      </w:r>
      <w:r>
        <w:rPr>
          <w:color w:val="auto"/>
          <w:szCs w:val="24"/>
        </w:rPr>
        <w:t xml:space="preserve"> and older should receive</w:t>
      </w:r>
      <w:r w:rsidRPr="00EF10F0">
        <w:rPr>
          <w:color w:val="auto"/>
          <w:szCs w:val="24"/>
        </w:rPr>
        <w:t xml:space="preserve"> 1,440 EL.U. </w:t>
      </w:r>
      <w:proofErr w:type="gramStart"/>
      <w:r w:rsidRPr="00EF10F0">
        <w:rPr>
          <w:color w:val="auto"/>
          <w:szCs w:val="24"/>
        </w:rPr>
        <w:t>per</w:t>
      </w:r>
      <w:proofErr w:type="gramEnd"/>
      <w:r w:rsidRPr="00EF10F0">
        <w:rPr>
          <w:color w:val="auto"/>
          <w:szCs w:val="24"/>
        </w:rPr>
        <w:t xml:space="preserve"> dose </w:t>
      </w:r>
      <w:r>
        <w:rPr>
          <w:color w:val="auto"/>
          <w:szCs w:val="24"/>
        </w:rPr>
        <w:t>(1-</w:t>
      </w:r>
      <w:r w:rsidRPr="00441EAB">
        <w:rPr>
          <w:color w:val="auto"/>
          <w:szCs w:val="24"/>
        </w:rPr>
        <w:t>mL)</w:t>
      </w:r>
      <w:r>
        <w:rPr>
          <w:color w:val="auto"/>
          <w:szCs w:val="24"/>
        </w:rPr>
        <w:t xml:space="preserve"> </w:t>
      </w:r>
      <w:r w:rsidRPr="00EF10F0">
        <w:rPr>
          <w:color w:val="auto"/>
          <w:szCs w:val="24"/>
        </w:rPr>
        <w:t xml:space="preserve">in a </w:t>
      </w:r>
      <w:r>
        <w:rPr>
          <w:color w:val="auto"/>
          <w:szCs w:val="24"/>
        </w:rPr>
        <w:br/>
      </w:r>
      <w:r w:rsidRPr="00EF10F0">
        <w:rPr>
          <w:color w:val="auto"/>
          <w:szCs w:val="24"/>
        </w:rPr>
        <w:t xml:space="preserve">2-dose schedule. </w:t>
      </w:r>
    </w:p>
    <w:p w:rsidR="008D5774" w:rsidRDefault="008D5774" w:rsidP="008D5774">
      <w:pPr>
        <w:ind w:left="360"/>
        <w:rPr>
          <w:color w:val="auto"/>
          <w:szCs w:val="24"/>
        </w:rPr>
      </w:pPr>
    </w:p>
    <w:p w:rsidR="008D5774" w:rsidRDefault="008D5774" w:rsidP="008D5774">
      <w:pPr>
        <w:ind w:left="360"/>
        <w:rPr>
          <w:color w:val="auto"/>
          <w:szCs w:val="24"/>
        </w:rPr>
      </w:pPr>
      <w:r w:rsidRPr="008D5774">
        <w:rPr>
          <w:b/>
          <w:color w:val="auto"/>
          <w:szCs w:val="24"/>
        </w:rPr>
        <w:t>VAQTA</w:t>
      </w:r>
      <w:r w:rsidRPr="008D5774">
        <w:rPr>
          <w:b/>
          <w:color w:val="auto"/>
          <w:szCs w:val="24"/>
          <w:vertAlign w:val="superscript"/>
        </w:rPr>
        <w:t>®</w:t>
      </w:r>
      <w:r w:rsidRPr="00CF2C5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</w:t>
      </w:r>
      <w:proofErr w:type="spellStart"/>
      <w:r>
        <w:rPr>
          <w:color w:val="auto"/>
          <w:szCs w:val="24"/>
        </w:rPr>
        <w:t>HepA</w:t>
      </w:r>
      <w:proofErr w:type="spellEnd"/>
      <w:r>
        <w:rPr>
          <w:color w:val="auto"/>
          <w:szCs w:val="24"/>
        </w:rPr>
        <w:t xml:space="preserve"> vaccine manufactured by Merck &amp; Co., </w:t>
      </w:r>
      <w:proofErr w:type="spellStart"/>
      <w:r>
        <w:rPr>
          <w:color w:val="auto"/>
          <w:szCs w:val="24"/>
        </w:rPr>
        <w:t>Inc</w:t>
      </w:r>
      <w:proofErr w:type="spellEnd"/>
      <w:r>
        <w:rPr>
          <w:color w:val="auto"/>
          <w:szCs w:val="24"/>
        </w:rPr>
        <w:t xml:space="preserve">) </w:t>
      </w:r>
      <w:proofErr w:type="gramStart"/>
      <w:r w:rsidRPr="00CF2C59">
        <w:rPr>
          <w:color w:val="auto"/>
          <w:szCs w:val="24"/>
        </w:rPr>
        <w:t>is licensed</w:t>
      </w:r>
      <w:proofErr w:type="gramEnd"/>
      <w:r w:rsidRPr="00CF2C59">
        <w:rPr>
          <w:color w:val="auto"/>
          <w:szCs w:val="24"/>
        </w:rPr>
        <w:t xml:space="preserve"> in two formulations, which differ according to the person’s age</w:t>
      </w:r>
      <w:r>
        <w:rPr>
          <w:color w:val="auto"/>
          <w:szCs w:val="24"/>
        </w:rPr>
        <w:t>:</w:t>
      </w:r>
      <w:r w:rsidRPr="00CF2C59">
        <w:rPr>
          <w:color w:val="auto"/>
          <w:szCs w:val="24"/>
        </w:rPr>
        <w:t xml:space="preserve"> </w:t>
      </w:r>
    </w:p>
    <w:p w:rsidR="008D5774" w:rsidRDefault="008D5774" w:rsidP="008D5774">
      <w:pPr>
        <w:pStyle w:val="ListParagraph"/>
        <w:numPr>
          <w:ilvl w:val="0"/>
          <w:numId w:val="9"/>
        </w:numPr>
        <w:rPr>
          <w:color w:val="auto"/>
          <w:szCs w:val="24"/>
        </w:rPr>
      </w:pPr>
      <w:r w:rsidRPr="004514A2">
        <w:rPr>
          <w:color w:val="auto"/>
          <w:szCs w:val="24"/>
        </w:rPr>
        <w:t>Persons aged 12 months</w:t>
      </w:r>
      <w:r>
        <w:rPr>
          <w:color w:val="auto"/>
          <w:szCs w:val="24"/>
        </w:rPr>
        <w:t xml:space="preserve"> through </w:t>
      </w:r>
      <w:r w:rsidRPr="004514A2">
        <w:rPr>
          <w:color w:val="auto"/>
          <w:szCs w:val="24"/>
        </w:rPr>
        <w:t>18 years should receive 25 U per dose</w:t>
      </w:r>
      <w:r>
        <w:rPr>
          <w:color w:val="auto"/>
          <w:szCs w:val="24"/>
        </w:rPr>
        <w:t xml:space="preserve"> (0.5-mL)</w:t>
      </w:r>
      <w:r w:rsidRPr="004514A2">
        <w:rPr>
          <w:color w:val="auto"/>
          <w:szCs w:val="24"/>
        </w:rPr>
        <w:t xml:space="preserve"> in a </w:t>
      </w:r>
      <w:r>
        <w:rPr>
          <w:color w:val="auto"/>
          <w:szCs w:val="24"/>
        </w:rPr>
        <w:br/>
      </w:r>
      <w:r w:rsidRPr="004514A2">
        <w:rPr>
          <w:color w:val="auto"/>
          <w:szCs w:val="24"/>
        </w:rPr>
        <w:t xml:space="preserve">2-dose schedule; </w:t>
      </w:r>
    </w:p>
    <w:p w:rsidR="008D5774" w:rsidRPr="004514A2" w:rsidRDefault="008D5774" w:rsidP="008D5774">
      <w:pPr>
        <w:pStyle w:val="ListParagraph"/>
        <w:numPr>
          <w:ilvl w:val="0"/>
          <w:numId w:val="9"/>
        </w:numPr>
        <w:rPr>
          <w:color w:val="auto"/>
          <w:szCs w:val="24"/>
        </w:rPr>
      </w:pPr>
      <w:r>
        <w:rPr>
          <w:color w:val="auto"/>
          <w:szCs w:val="24"/>
        </w:rPr>
        <w:t>P</w:t>
      </w:r>
      <w:r w:rsidRPr="004514A2">
        <w:rPr>
          <w:color w:val="auto"/>
          <w:szCs w:val="24"/>
        </w:rPr>
        <w:t xml:space="preserve">ersons aged </w:t>
      </w:r>
      <w:r>
        <w:rPr>
          <w:color w:val="auto"/>
          <w:szCs w:val="24"/>
        </w:rPr>
        <w:t>19 years and older</w:t>
      </w:r>
      <w:r w:rsidRPr="004514A2">
        <w:rPr>
          <w:color w:val="auto"/>
          <w:szCs w:val="24"/>
        </w:rPr>
        <w:t xml:space="preserve"> should receive 50 U per dose </w:t>
      </w:r>
      <w:bookmarkStart w:id="0" w:name="_Hlk495618796"/>
      <w:r>
        <w:rPr>
          <w:color w:val="auto"/>
          <w:szCs w:val="24"/>
        </w:rPr>
        <w:t>(1-mL)</w:t>
      </w:r>
      <w:bookmarkEnd w:id="0"/>
      <w:r>
        <w:rPr>
          <w:color w:val="auto"/>
          <w:szCs w:val="24"/>
        </w:rPr>
        <w:t xml:space="preserve"> </w:t>
      </w:r>
      <w:r w:rsidRPr="004514A2">
        <w:rPr>
          <w:color w:val="auto"/>
          <w:szCs w:val="24"/>
        </w:rPr>
        <w:t xml:space="preserve">in a </w:t>
      </w:r>
      <w:r>
        <w:rPr>
          <w:color w:val="auto"/>
          <w:szCs w:val="24"/>
        </w:rPr>
        <w:br/>
      </w:r>
      <w:r w:rsidRPr="004514A2">
        <w:rPr>
          <w:color w:val="auto"/>
          <w:szCs w:val="24"/>
        </w:rPr>
        <w:t xml:space="preserve">2-dose schedule. </w:t>
      </w:r>
    </w:p>
    <w:p w:rsidR="008D5774" w:rsidRPr="00CF2C59" w:rsidRDefault="008D5774" w:rsidP="008D5774">
      <w:pPr>
        <w:ind w:left="360"/>
        <w:rPr>
          <w:color w:val="auto"/>
          <w:szCs w:val="24"/>
        </w:rPr>
      </w:pPr>
    </w:p>
    <w:p w:rsidR="008D5774" w:rsidRDefault="008D5774" w:rsidP="008D5774">
      <w:pPr>
        <w:rPr>
          <w:color w:val="auto"/>
          <w:szCs w:val="24"/>
        </w:rPr>
      </w:pPr>
    </w:p>
    <w:p w:rsidR="008D5774" w:rsidRPr="004514A2" w:rsidRDefault="008D5774" w:rsidP="008D5774">
      <w:pPr>
        <w:ind w:left="360"/>
        <w:rPr>
          <w:color w:val="auto"/>
          <w:szCs w:val="24"/>
        </w:rPr>
      </w:pPr>
      <w:r>
        <w:rPr>
          <w:color w:val="auto"/>
          <w:szCs w:val="24"/>
        </w:rPr>
        <w:t xml:space="preserve">The pediatric formulations of either </w:t>
      </w:r>
      <w:r w:rsidRPr="008D5774">
        <w:rPr>
          <w:b/>
          <w:color w:val="auto"/>
          <w:szCs w:val="24"/>
        </w:rPr>
        <w:t>HAVRIX</w:t>
      </w:r>
      <w:r w:rsidRPr="008D5774">
        <w:rPr>
          <w:b/>
          <w:color w:val="auto"/>
          <w:szCs w:val="24"/>
          <w:vertAlign w:val="superscript"/>
        </w:rPr>
        <w:t>®</w:t>
      </w:r>
      <w:r>
        <w:rPr>
          <w:color w:val="auto"/>
          <w:szCs w:val="24"/>
        </w:rPr>
        <w:t xml:space="preserve"> or </w:t>
      </w:r>
      <w:r w:rsidRPr="008D5774">
        <w:rPr>
          <w:b/>
          <w:color w:val="auto"/>
          <w:szCs w:val="24"/>
        </w:rPr>
        <w:t>VAQTA</w:t>
      </w:r>
      <w:r w:rsidRPr="008D5774">
        <w:rPr>
          <w:b/>
          <w:color w:val="auto"/>
          <w:szCs w:val="24"/>
          <w:vertAlign w:val="superscript"/>
        </w:rPr>
        <w:t>®</w:t>
      </w:r>
      <w:r>
        <w:rPr>
          <w:color w:val="auto"/>
          <w:szCs w:val="24"/>
        </w:rPr>
        <w:t xml:space="preserve"> are not FDA approved for administration to adults, aged 19 years and older.</w:t>
      </w:r>
    </w:p>
    <w:p w:rsidR="008D5774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Default="008D5774" w:rsidP="008D577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szCs w:val="24"/>
          <w:u w:val="single"/>
        </w:rPr>
      </w:pPr>
      <w:r w:rsidRPr="001A3657">
        <w:rPr>
          <w:b/>
          <w:u w:val="single"/>
        </w:rPr>
        <w:lastRenderedPageBreak/>
        <w:t xml:space="preserve">Anatomical Site </w:t>
      </w:r>
    </w:p>
    <w:p w:rsidR="008D5774" w:rsidRPr="001A3657" w:rsidRDefault="008D5774" w:rsidP="008D5774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720"/>
        <w:rPr>
          <w:szCs w:val="18"/>
        </w:rPr>
      </w:pPr>
      <w:r w:rsidRPr="001A3657">
        <w:rPr>
          <w:szCs w:val="18"/>
        </w:rPr>
        <w:t xml:space="preserve">In children and adolescents (i.e., persons aged 12 months through 18 years), the deltoid muscle can be used if the muscle mass is adequate  </w:t>
      </w:r>
    </w:p>
    <w:p w:rsidR="008D5774" w:rsidRPr="001A3657" w:rsidRDefault="008D5774" w:rsidP="008D5774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720"/>
        <w:rPr>
          <w:szCs w:val="18"/>
        </w:rPr>
      </w:pPr>
      <w:r w:rsidRPr="001A3657">
        <w:rPr>
          <w:szCs w:val="18"/>
        </w:rPr>
        <w:t xml:space="preserve">The needle size for children and adolescents can range from 22 to 25 gauge and from </w:t>
      </w:r>
      <w:r w:rsidRPr="001A3657">
        <w:rPr>
          <w:szCs w:val="18"/>
        </w:rPr>
        <w:br/>
        <w:t>7/8 to 1 ¼ inches, on the basis of the size of the muscle</w:t>
      </w:r>
    </w:p>
    <w:p w:rsidR="008D5774" w:rsidRPr="001A3657" w:rsidRDefault="008D5774" w:rsidP="008D5774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720"/>
        <w:rPr>
          <w:szCs w:val="18"/>
        </w:rPr>
      </w:pPr>
      <w:r w:rsidRPr="001A3657">
        <w:rPr>
          <w:szCs w:val="18"/>
          <w:u w:val="single"/>
        </w:rPr>
        <w:t xml:space="preserve">For toddlers, the anterolateral thigh </w:t>
      </w:r>
      <w:proofErr w:type="gramStart"/>
      <w:r w:rsidRPr="001A3657">
        <w:rPr>
          <w:szCs w:val="18"/>
          <w:u w:val="single"/>
        </w:rPr>
        <w:t>can be used</w:t>
      </w:r>
      <w:proofErr w:type="gramEnd"/>
      <w:r w:rsidRPr="001A3657">
        <w:rPr>
          <w:szCs w:val="18"/>
          <w:u w:val="single"/>
        </w:rPr>
        <w:t>, but the needle is usually 1 inch.  For</w:t>
      </w:r>
      <w:r w:rsidRPr="001A3657">
        <w:rPr>
          <w:szCs w:val="18"/>
        </w:rPr>
        <w:t xml:space="preserve"> adults (i.e., persons aged 19 years and older) the deltoid muscle </w:t>
      </w:r>
      <w:proofErr w:type="gramStart"/>
      <w:r w:rsidRPr="001A3657">
        <w:rPr>
          <w:szCs w:val="18"/>
        </w:rPr>
        <w:t>is recommended</w:t>
      </w:r>
      <w:proofErr w:type="gramEnd"/>
      <w:r w:rsidRPr="001A3657">
        <w:rPr>
          <w:szCs w:val="18"/>
        </w:rPr>
        <w:t xml:space="preserve"> for routine intramuscular vaccinations.  The anterolateral thigh </w:t>
      </w:r>
      <w:proofErr w:type="gramStart"/>
      <w:r w:rsidRPr="001A3657">
        <w:rPr>
          <w:szCs w:val="18"/>
        </w:rPr>
        <w:t>can be used</w:t>
      </w:r>
      <w:proofErr w:type="gramEnd"/>
      <w:r w:rsidRPr="001A3657">
        <w:rPr>
          <w:szCs w:val="18"/>
        </w:rPr>
        <w:t>.  The suggested needle size is 1-1</w:t>
      </w:r>
      <w:r w:rsidRPr="001A3657">
        <w:t>½</w:t>
      </w:r>
      <w:r w:rsidRPr="001A3657">
        <w:rPr>
          <w:szCs w:val="18"/>
        </w:rPr>
        <w:t xml:space="preserve"> inches and 22-25 gauge.</w:t>
      </w:r>
    </w:p>
    <w:p w:rsidR="008D5774" w:rsidRPr="001A3657" w:rsidRDefault="008D5774" w:rsidP="008D5774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ind w:left="720"/>
        <w:rPr>
          <w:szCs w:val="18"/>
        </w:rPr>
      </w:pPr>
      <w:r w:rsidRPr="001A3657">
        <w:rPr>
          <w:szCs w:val="18"/>
        </w:rPr>
        <w:t xml:space="preserve">In adults (i.e., persons aged 19 years and older), the deltoid muscle can be used if the muscle mass is adequate  </w:t>
      </w:r>
    </w:p>
    <w:p w:rsidR="008D5774" w:rsidRPr="001A3657" w:rsidRDefault="008D5774" w:rsidP="008D5774">
      <w:pPr>
        <w:keepNext/>
        <w:keepLines/>
        <w:autoSpaceDE w:val="0"/>
        <w:autoSpaceDN w:val="0"/>
        <w:adjustRightInd w:val="0"/>
        <w:spacing w:after="120"/>
        <w:rPr>
          <w:b/>
          <w:u w:val="single"/>
        </w:rPr>
      </w:pPr>
    </w:p>
    <w:p w:rsidR="008D5774" w:rsidRPr="001A3657" w:rsidRDefault="008D5774" w:rsidP="008D5774">
      <w:pPr>
        <w:keepNext/>
        <w:keepLines/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rPr>
          <w:b/>
          <w:u w:val="single"/>
        </w:rPr>
        <w:t>Precautions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1A3657">
        <w:rPr>
          <w:rFonts w:ascii="Times New Roman Bold"/>
          <w:b/>
          <w:bCs/>
          <w:u w:val="single"/>
        </w:rPr>
        <w:t>Pregnancy:</w:t>
      </w:r>
      <w:r w:rsidRPr="001A3657">
        <w:rPr>
          <w:b/>
          <w:bCs/>
        </w:rPr>
        <w:t xml:space="preserve">  </w:t>
      </w:r>
      <w:r w:rsidRPr="001A3657">
        <w:rPr>
          <w:i/>
          <w:iCs/>
        </w:rPr>
        <w:t xml:space="preserve">The safety of </w:t>
      </w:r>
      <w:proofErr w:type="spellStart"/>
      <w:r>
        <w:rPr>
          <w:i/>
          <w:iCs/>
        </w:rPr>
        <w:t>Hep</w:t>
      </w:r>
      <w:r w:rsidRPr="001A3657">
        <w:rPr>
          <w:i/>
          <w:iCs/>
        </w:rPr>
        <w:t>A</w:t>
      </w:r>
      <w:proofErr w:type="spellEnd"/>
      <w:r w:rsidRPr="001A3657">
        <w:rPr>
          <w:i/>
          <w:iCs/>
        </w:rPr>
        <w:t xml:space="preserve"> vaccination during pregnancy has not been determined; however, because </w:t>
      </w:r>
      <w:proofErr w:type="spellStart"/>
      <w:r>
        <w:rPr>
          <w:i/>
          <w:iCs/>
        </w:rPr>
        <w:t>Hep</w:t>
      </w:r>
      <w:r w:rsidRPr="001A3657">
        <w:rPr>
          <w:i/>
          <w:iCs/>
        </w:rPr>
        <w:t>A</w:t>
      </w:r>
      <w:proofErr w:type="spellEnd"/>
      <w:r w:rsidRPr="001A3657">
        <w:rPr>
          <w:i/>
          <w:iCs/>
        </w:rPr>
        <w:t xml:space="preserve"> vaccine </w:t>
      </w:r>
      <w:proofErr w:type="gramStart"/>
      <w:r w:rsidRPr="001A3657">
        <w:rPr>
          <w:i/>
          <w:iCs/>
        </w:rPr>
        <w:t>is produced</w:t>
      </w:r>
      <w:proofErr w:type="gramEnd"/>
      <w:r w:rsidRPr="001A3657">
        <w:rPr>
          <w:i/>
          <w:iCs/>
        </w:rPr>
        <w:t xml:space="preserve"> from inactivated hepatitis A virus (HAV), the theoretical risk to the developing fetus is expected to be low.  The risk associated with vaccination should be weighed against the risk for hepatitis A in women who may be at high risk for exposure to HAV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18"/>
        </w:rPr>
      </w:pPr>
      <w:r w:rsidRPr="001A3657">
        <w:rPr>
          <w:szCs w:val="18"/>
        </w:rPr>
        <w:t xml:space="preserve">Prior to administering the vaccine, obtain a vaccination history to determine any reactions to any vaccine including </w:t>
      </w:r>
      <w:proofErr w:type="spellStart"/>
      <w:r w:rsidRPr="001A3657">
        <w:rPr>
          <w:szCs w:val="18"/>
        </w:rPr>
        <w:t>HepA</w:t>
      </w:r>
      <w:proofErr w:type="spellEnd"/>
      <w:r>
        <w:rPr>
          <w:szCs w:val="18"/>
        </w:rPr>
        <w:t xml:space="preserve"> vaccine</w:t>
      </w:r>
      <w:r w:rsidRPr="001A3657">
        <w:rPr>
          <w:szCs w:val="18"/>
        </w:rPr>
        <w:t>.</w:t>
      </w:r>
    </w:p>
    <w:p w:rsidR="008D5774" w:rsidRPr="001A3657" w:rsidRDefault="008D5774" w:rsidP="008D5774">
      <w:pPr>
        <w:autoSpaceDE w:val="0"/>
        <w:autoSpaceDN w:val="0"/>
        <w:adjustRightInd w:val="0"/>
        <w:rPr>
          <w:b/>
          <w:szCs w:val="18"/>
        </w:rPr>
      </w:pPr>
    </w:p>
    <w:p w:rsidR="008D5774" w:rsidRPr="001A3657" w:rsidRDefault="008D5774" w:rsidP="008D5774">
      <w:pPr>
        <w:keepNext/>
        <w:keepLines/>
        <w:autoSpaceDE w:val="0"/>
        <w:autoSpaceDN w:val="0"/>
        <w:adjustRightInd w:val="0"/>
        <w:spacing w:after="120"/>
        <w:rPr>
          <w:szCs w:val="18"/>
        </w:rPr>
      </w:pPr>
      <w:r w:rsidRPr="001A3657">
        <w:rPr>
          <w:b/>
          <w:szCs w:val="18"/>
        </w:rPr>
        <w:t>See precautions in package insert</w:t>
      </w:r>
      <w:r w:rsidRPr="001A3657">
        <w:rPr>
          <w:szCs w:val="18"/>
        </w:rPr>
        <w:t xml:space="preserve"> for administration to individuals with a history of bleeding disorders such as hemophilia or thrombocytopenia or to individuals on anticoagulant therapy.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18"/>
        </w:rPr>
      </w:pPr>
      <w:r w:rsidRPr="001A3657">
        <w:rPr>
          <w:szCs w:val="18"/>
        </w:rPr>
        <w:t>Persons with immunodeficiency (may have a suboptimal response)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szCs w:val="18"/>
        </w:rPr>
      </w:pPr>
      <w:r w:rsidRPr="001A3657">
        <w:rPr>
          <w:szCs w:val="18"/>
        </w:rPr>
        <w:t xml:space="preserve">Latex allergy – </w:t>
      </w:r>
      <w:r w:rsidRPr="001A3657">
        <w:rPr>
          <w:b/>
          <w:szCs w:val="18"/>
        </w:rPr>
        <w:t>See WARNINGS in package insert</w:t>
      </w:r>
      <w:r w:rsidRPr="001A3657">
        <w:rPr>
          <w:szCs w:val="18"/>
        </w:rPr>
        <w:t xml:space="preserve"> for information about any latex components in the vial stopper and / or prefilled syringes for the particular brand of hepatitis A vaccine being used.</w:t>
      </w:r>
    </w:p>
    <w:p w:rsidR="008D5774" w:rsidRPr="001A3657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rPr>
          <w:b/>
          <w:u w:val="single"/>
        </w:rPr>
        <w:t>Contraindications</w:t>
      </w:r>
    </w:p>
    <w:p w:rsidR="008D5774" w:rsidRPr="001A3657" w:rsidRDefault="008D5774" w:rsidP="008D5774">
      <w:pPr>
        <w:autoSpaceDE w:val="0"/>
        <w:autoSpaceDN w:val="0"/>
        <w:adjustRightInd w:val="0"/>
        <w:rPr>
          <w:szCs w:val="18"/>
        </w:rPr>
      </w:pPr>
      <w:r w:rsidRPr="001A3657">
        <w:rPr>
          <w:szCs w:val="18"/>
        </w:rPr>
        <w:t>Individuals with: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b/>
          <w:szCs w:val="18"/>
          <w:u w:val="single"/>
        </w:rPr>
      </w:pPr>
      <w:r w:rsidRPr="001A3657">
        <w:rPr>
          <w:b/>
          <w:bCs/>
        </w:rPr>
        <w:t>Allergy to vaccine components</w:t>
      </w:r>
      <w:r w:rsidRPr="001A3657">
        <w:rPr>
          <w:i/>
          <w:iCs/>
          <w:szCs w:val="18"/>
        </w:rPr>
        <w:t xml:space="preserve"> </w:t>
      </w:r>
      <w:r w:rsidRPr="001A3657">
        <w:rPr>
          <w:i/>
          <w:iCs/>
          <w:szCs w:val="18"/>
        </w:rPr>
        <w:br/>
      </w:r>
      <w:r w:rsidRPr="001A3657">
        <w:rPr>
          <w:iCs/>
          <w:szCs w:val="18"/>
        </w:rPr>
        <w:t>Anaphylactic reaction to the vaccine or a constituent of the vaccine</w:t>
      </w:r>
    </w:p>
    <w:p w:rsidR="008D5774" w:rsidRPr="001A3657" w:rsidRDefault="008D5774" w:rsidP="008D5774">
      <w:pPr>
        <w:numPr>
          <w:ilvl w:val="0"/>
          <w:numId w:val="1"/>
        </w:numPr>
        <w:autoSpaceDE w:val="0"/>
        <w:autoSpaceDN w:val="0"/>
        <w:adjustRightInd w:val="0"/>
        <w:rPr>
          <w:b/>
          <w:u w:val="single"/>
        </w:rPr>
      </w:pPr>
      <w:r w:rsidRPr="001A3657">
        <w:rPr>
          <w:b/>
          <w:bCs/>
        </w:rPr>
        <w:t>Acute, moderate or severe illness with or without fever</w:t>
      </w:r>
    </w:p>
    <w:p w:rsidR="008D5774" w:rsidRPr="001A3657" w:rsidRDefault="008D5774" w:rsidP="008D5774">
      <w:pPr>
        <w:autoSpaceDE w:val="0"/>
        <w:autoSpaceDN w:val="0"/>
        <w:adjustRightInd w:val="0"/>
        <w:rPr>
          <w:b/>
          <w:sz w:val="18"/>
          <w:szCs w:val="18"/>
          <w:u w:val="single"/>
        </w:rPr>
      </w:pPr>
    </w:p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szCs w:val="24"/>
        </w:rPr>
      </w:pPr>
      <w:r w:rsidRPr="001A3657">
        <w:rPr>
          <w:b/>
          <w:szCs w:val="24"/>
          <w:u w:val="single"/>
        </w:rPr>
        <w:t xml:space="preserve">Adverse Events </w:t>
      </w:r>
    </w:p>
    <w:p w:rsidR="008D5774" w:rsidRPr="001A3657" w:rsidRDefault="008D5774" w:rsidP="008D5774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b/>
          <w:u w:val="single"/>
        </w:rPr>
      </w:pPr>
      <w:r w:rsidRPr="001A3657">
        <w:t>See the product’s package insert</w:t>
      </w:r>
    </w:p>
    <w:p w:rsidR="008D5774" w:rsidRPr="001A3657" w:rsidRDefault="008D5774" w:rsidP="008D5774">
      <w:pPr>
        <w:numPr>
          <w:ilvl w:val="0"/>
          <w:numId w:val="8"/>
        </w:numPr>
        <w:autoSpaceDE w:val="0"/>
        <w:autoSpaceDN w:val="0"/>
        <w:adjustRightInd w:val="0"/>
        <w:contextualSpacing/>
      </w:pPr>
      <w:r w:rsidRPr="001A3657">
        <w:t>See Adverse Events Following Vaccinations page of this section</w:t>
      </w:r>
    </w:p>
    <w:p w:rsidR="008D5774" w:rsidRPr="001A3657" w:rsidRDefault="008D5774" w:rsidP="008D5774">
      <w:pPr>
        <w:autoSpaceDE w:val="0"/>
        <w:autoSpaceDN w:val="0"/>
        <w:adjustRightInd w:val="0"/>
        <w:spacing w:after="60"/>
        <w:rPr>
          <w:b/>
          <w:u w:val="single"/>
        </w:rPr>
      </w:pPr>
    </w:p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b/>
          <w:u w:val="single"/>
        </w:rPr>
      </w:pPr>
      <w:r w:rsidRPr="001A3657">
        <w:rPr>
          <w:b/>
          <w:u w:val="single"/>
        </w:rPr>
        <w:t>Storage and Handling</w:t>
      </w:r>
    </w:p>
    <w:p w:rsidR="008D5774" w:rsidRPr="001A3657" w:rsidRDefault="008D5774" w:rsidP="008D5774">
      <w:pPr>
        <w:numPr>
          <w:ilvl w:val="0"/>
          <w:numId w:val="2"/>
        </w:numPr>
        <w:autoSpaceDE w:val="0"/>
        <w:autoSpaceDN w:val="0"/>
        <w:adjustRightInd w:val="0"/>
        <w:rPr>
          <w:b/>
          <w:u w:val="single"/>
        </w:rPr>
      </w:pPr>
      <w:r w:rsidRPr="001A3657">
        <w:t>Store in refrigerator at 36</w:t>
      </w:r>
      <w:r w:rsidRPr="001A3657">
        <w:rPr>
          <w:vertAlign w:val="superscript"/>
        </w:rPr>
        <w:t>o</w:t>
      </w:r>
      <w:r w:rsidRPr="001A3657">
        <w:t>F – 46</w:t>
      </w:r>
      <w:r w:rsidRPr="001A3657">
        <w:rPr>
          <w:vertAlign w:val="superscript"/>
        </w:rPr>
        <w:t>o</w:t>
      </w:r>
      <w:r w:rsidRPr="001A3657">
        <w:t>F (2</w:t>
      </w:r>
      <w:r w:rsidRPr="001A3657">
        <w:rPr>
          <w:vertAlign w:val="superscript"/>
        </w:rPr>
        <w:t>o</w:t>
      </w:r>
      <w:r w:rsidRPr="001A3657">
        <w:t>C – 8</w:t>
      </w:r>
      <w:r w:rsidRPr="001A3657">
        <w:rPr>
          <w:vertAlign w:val="superscript"/>
        </w:rPr>
        <w:t>o</w:t>
      </w:r>
      <w:r w:rsidRPr="001A3657">
        <w:t>C)</w:t>
      </w:r>
    </w:p>
    <w:p w:rsidR="008D5774" w:rsidRPr="001A3657" w:rsidRDefault="008D5774" w:rsidP="008D5774">
      <w:pPr>
        <w:numPr>
          <w:ilvl w:val="0"/>
          <w:numId w:val="2"/>
        </w:numPr>
        <w:autoSpaceDE w:val="0"/>
        <w:autoSpaceDN w:val="0"/>
        <w:adjustRightInd w:val="0"/>
      </w:pPr>
      <w:r w:rsidRPr="001A3657">
        <w:t xml:space="preserve">DO NOT FREEZE; discard if product </w:t>
      </w:r>
      <w:proofErr w:type="gramStart"/>
      <w:r w:rsidRPr="001A3657">
        <w:t>has been frozen</w:t>
      </w:r>
      <w:proofErr w:type="gramEnd"/>
      <w:r w:rsidRPr="001A3657">
        <w:t>.</w:t>
      </w:r>
    </w:p>
    <w:p w:rsidR="008D5774" w:rsidRPr="001A3657" w:rsidRDefault="008D5774" w:rsidP="008D5774">
      <w:pPr>
        <w:autoSpaceDE w:val="0"/>
        <w:autoSpaceDN w:val="0"/>
        <w:adjustRightInd w:val="0"/>
        <w:rPr>
          <w:b/>
          <w:u w:val="single"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b/>
          <w:bCs/>
        </w:rPr>
      </w:pPr>
      <w:r w:rsidRPr="001A3657">
        <w:rPr>
          <w:b/>
          <w:u w:val="single"/>
        </w:rPr>
        <w:lastRenderedPageBreak/>
        <w:t xml:space="preserve">Other Important Notes </w:t>
      </w:r>
      <w:r w:rsidRPr="001A3657">
        <w:t xml:space="preserve">--If administered concomitantly with immune globulin (IG), use a separate syringe and different anatomical site, preferably a different limb, for the administration of </w:t>
      </w:r>
      <w:proofErr w:type="spellStart"/>
      <w:r w:rsidRPr="001A3657">
        <w:t>HepA</w:t>
      </w:r>
      <w:proofErr w:type="spellEnd"/>
      <w:r w:rsidRPr="001A3657">
        <w:t xml:space="preserve"> vaccine.</w:t>
      </w:r>
    </w:p>
    <w:p w:rsidR="008D5774" w:rsidRPr="001A3657" w:rsidRDefault="008D5774" w:rsidP="008D5774">
      <w:pPr>
        <w:autoSpaceDE w:val="0"/>
        <w:autoSpaceDN w:val="0"/>
        <w:adjustRightInd w:val="0"/>
        <w:rPr>
          <w:b/>
          <w:bCs/>
        </w:rPr>
      </w:pPr>
    </w:p>
    <w:p w:rsidR="008D5774" w:rsidRPr="001A3657" w:rsidRDefault="008D5774" w:rsidP="008D5774">
      <w:pPr>
        <w:rPr>
          <w:b/>
          <w:bCs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b/>
          <w:bCs/>
        </w:rPr>
      </w:pPr>
      <w:r w:rsidRPr="001A3657">
        <w:rPr>
          <w:b/>
          <w:bCs/>
        </w:rPr>
        <w:t>ADDITIONAL INFORMATION</w:t>
      </w:r>
    </w:p>
    <w:p w:rsidR="008D5774" w:rsidRPr="001A3657" w:rsidRDefault="008D5774" w:rsidP="008D5774">
      <w:pPr>
        <w:autoSpaceDE w:val="0"/>
        <w:autoSpaceDN w:val="0"/>
        <w:adjustRightInd w:val="0"/>
        <w:rPr>
          <w:bCs/>
        </w:rPr>
      </w:pPr>
    </w:p>
    <w:p w:rsidR="008D5774" w:rsidRPr="001A3657" w:rsidRDefault="008D5774" w:rsidP="008D5774">
      <w:pPr>
        <w:autoSpaceDE w:val="0"/>
        <w:autoSpaceDN w:val="0"/>
        <w:adjustRightInd w:val="0"/>
        <w:spacing w:after="120"/>
        <w:rPr>
          <w:bCs/>
        </w:rPr>
      </w:pPr>
      <w:r w:rsidRPr="001A3657">
        <w:rPr>
          <w:bCs/>
        </w:rPr>
        <w:t>Preventing the spread of Hepatitis A virus to others:</w:t>
      </w:r>
    </w:p>
    <w:p w:rsidR="008D5774" w:rsidRPr="001A3657" w:rsidRDefault="008D5774" w:rsidP="008D5774">
      <w:pPr>
        <w:numPr>
          <w:ilvl w:val="0"/>
          <w:numId w:val="6"/>
        </w:numPr>
        <w:autoSpaceDE w:val="0"/>
        <w:autoSpaceDN w:val="0"/>
        <w:adjustRightInd w:val="0"/>
        <w:rPr>
          <w:bCs/>
        </w:rPr>
      </w:pPr>
      <w:r w:rsidRPr="001A3657">
        <w:rPr>
          <w:bCs/>
        </w:rPr>
        <w:t>Educate on careful hand washing techniques and good hygiene</w:t>
      </w:r>
    </w:p>
    <w:p w:rsidR="008D5774" w:rsidRPr="001A3657" w:rsidRDefault="008D5774" w:rsidP="008D5774">
      <w:pPr>
        <w:numPr>
          <w:ilvl w:val="0"/>
          <w:numId w:val="6"/>
        </w:numPr>
        <w:autoSpaceDE w:val="0"/>
        <w:autoSpaceDN w:val="0"/>
        <w:adjustRightInd w:val="0"/>
        <w:rPr>
          <w:rFonts w:ascii="AGaramond-Bold" w:hAnsi="AGaramond-Bold" w:cs="AGaramond-Bold"/>
          <w:b/>
          <w:bCs/>
        </w:rPr>
      </w:pPr>
      <w:r w:rsidRPr="001A3657">
        <w:rPr>
          <w:bCs/>
        </w:rPr>
        <w:t>Vaccination with hepatitis A is recommended for persons at increased risk for HAV infection or its consequences</w:t>
      </w:r>
    </w:p>
    <w:p w:rsidR="008D5774" w:rsidRPr="001A3657" w:rsidRDefault="008D5774" w:rsidP="008D5774">
      <w:pPr>
        <w:autoSpaceDE w:val="0"/>
        <w:autoSpaceDN w:val="0"/>
        <w:adjustRightInd w:val="0"/>
        <w:rPr>
          <w:rFonts w:ascii="AGaramond-Bold" w:hAnsi="AGaramond-Bold" w:cs="AGaramond-Bold"/>
          <w:b/>
          <w:bCs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rFonts w:ascii="AGaramond-Bold" w:hAnsi="AGaramond-Bold" w:cs="AGaramond-Bold"/>
          <w:b/>
          <w:bCs/>
        </w:rPr>
      </w:pPr>
    </w:p>
    <w:p w:rsidR="008D5774" w:rsidRPr="001A3657" w:rsidRDefault="008D5774" w:rsidP="008D5774">
      <w:pPr>
        <w:rPr>
          <w:bCs/>
        </w:rPr>
      </w:pPr>
      <w:r w:rsidRPr="004514A2">
        <w:rPr>
          <w:b/>
          <w:bCs/>
        </w:rPr>
        <w:t xml:space="preserve">Post </w:t>
      </w:r>
      <w:r w:rsidRPr="0046144E">
        <w:rPr>
          <w:b/>
          <w:bCs/>
        </w:rPr>
        <w:t>Exposure Prophylaxis</w:t>
      </w:r>
      <w:r w:rsidRPr="001A3657">
        <w:rPr>
          <w:bCs/>
        </w:rPr>
        <w:t xml:space="preserve"> (e.g. During Hepatitis A outbreaks or as part of a contact investigation):</w:t>
      </w:r>
    </w:p>
    <w:p w:rsidR="008D5774" w:rsidRPr="001A3657" w:rsidRDefault="008D5774" w:rsidP="008D5774">
      <w:pPr>
        <w:autoSpaceDE w:val="0"/>
        <w:autoSpaceDN w:val="0"/>
        <w:adjustRightInd w:val="0"/>
        <w:rPr>
          <w:bCs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bCs/>
        </w:rPr>
      </w:pPr>
      <w:r w:rsidRPr="001A3657">
        <w:rPr>
          <w:bCs/>
        </w:rPr>
        <w:t xml:space="preserve">Persons who </w:t>
      </w:r>
      <w:proofErr w:type="gramStart"/>
      <w:r w:rsidRPr="001A3657">
        <w:rPr>
          <w:bCs/>
        </w:rPr>
        <w:t>have recently been exposed</w:t>
      </w:r>
      <w:proofErr w:type="gramEnd"/>
      <w:r w:rsidRPr="001A3657">
        <w:rPr>
          <w:bCs/>
        </w:rPr>
        <w:t xml:space="preserve"> to HAV and who have not been previously vaccinated should receive post exposure prophylaxis (PEP) as soon as possible and within two weeks of HAV exposure.  </w:t>
      </w:r>
    </w:p>
    <w:p w:rsidR="008D5774" w:rsidRPr="001A3657" w:rsidRDefault="008D5774" w:rsidP="008D5774">
      <w:pPr>
        <w:autoSpaceDE w:val="0"/>
        <w:autoSpaceDN w:val="0"/>
        <w:adjustRightInd w:val="0"/>
        <w:rPr>
          <w:bCs/>
        </w:rPr>
      </w:pPr>
    </w:p>
    <w:p w:rsidR="008D5774" w:rsidRPr="001A3657" w:rsidRDefault="008D5774" w:rsidP="008D5774">
      <w:pPr>
        <w:autoSpaceDE w:val="0"/>
        <w:autoSpaceDN w:val="0"/>
        <w:adjustRightInd w:val="0"/>
        <w:rPr>
          <w:bCs/>
        </w:rPr>
      </w:pPr>
      <w:r w:rsidRPr="001A3657">
        <w:rPr>
          <w:bCs/>
        </w:rPr>
        <w:t xml:space="preserve">Options for </w:t>
      </w:r>
      <w:r>
        <w:rPr>
          <w:bCs/>
        </w:rPr>
        <w:t xml:space="preserve">Hepatitis A </w:t>
      </w:r>
      <w:r w:rsidRPr="001A3657">
        <w:rPr>
          <w:bCs/>
        </w:rPr>
        <w:t>PEP</w:t>
      </w:r>
      <w:r>
        <w:rPr>
          <w:bCs/>
        </w:rPr>
        <w:t>, updated in 2017,</w:t>
      </w:r>
      <w:r w:rsidRPr="001A3657">
        <w:rPr>
          <w:bCs/>
        </w:rPr>
        <w:t xml:space="preserve"> include:</w:t>
      </w:r>
    </w:p>
    <w:p w:rsidR="008D5774" w:rsidRPr="001A3657" w:rsidRDefault="008D5774" w:rsidP="008D5774">
      <w:pPr>
        <w:numPr>
          <w:ilvl w:val="0"/>
          <w:numId w:val="7"/>
        </w:numPr>
        <w:autoSpaceDE w:val="0"/>
        <w:autoSpaceDN w:val="0"/>
        <w:adjustRightInd w:val="0"/>
        <w:spacing w:before="60"/>
        <w:rPr>
          <w:bCs/>
        </w:rPr>
      </w:pPr>
      <w:r w:rsidRPr="001A3657">
        <w:rPr>
          <w:bCs/>
        </w:rPr>
        <w:t xml:space="preserve">Single antigen </w:t>
      </w:r>
      <w:proofErr w:type="spellStart"/>
      <w:r w:rsidRPr="001A3657">
        <w:rPr>
          <w:bCs/>
        </w:rPr>
        <w:t>HepA</w:t>
      </w:r>
      <w:proofErr w:type="spellEnd"/>
      <w:r w:rsidRPr="001A3657">
        <w:rPr>
          <w:bCs/>
        </w:rPr>
        <w:t xml:space="preserve"> vaccine is preferred for healthy persons aged 12 months through 40 years </w:t>
      </w:r>
    </w:p>
    <w:p w:rsidR="008D5774" w:rsidRDefault="008D5774" w:rsidP="008D5774">
      <w:pPr>
        <w:numPr>
          <w:ilvl w:val="0"/>
          <w:numId w:val="7"/>
        </w:numPr>
        <w:autoSpaceDE w:val="0"/>
        <w:autoSpaceDN w:val="0"/>
        <w:adjustRightInd w:val="0"/>
        <w:spacing w:before="60"/>
        <w:rPr>
          <w:bCs/>
        </w:rPr>
      </w:pPr>
      <w:r w:rsidRPr="001A3657">
        <w:rPr>
          <w:bCs/>
        </w:rPr>
        <w:t>Immune globulin (IG) (</w:t>
      </w:r>
      <w:r>
        <w:rPr>
          <w:bCs/>
        </w:rPr>
        <w:t xml:space="preserve">new dose of </w:t>
      </w:r>
      <w:r w:rsidRPr="001A3657">
        <w:rPr>
          <w:bCs/>
        </w:rPr>
        <w:t>0.</w:t>
      </w:r>
      <w:r>
        <w:rPr>
          <w:bCs/>
        </w:rPr>
        <w:t>1</w:t>
      </w:r>
      <w:r w:rsidRPr="001A3657">
        <w:rPr>
          <w:bCs/>
        </w:rPr>
        <w:t xml:space="preserve"> mL/kg)</w:t>
      </w:r>
      <w:r>
        <w:rPr>
          <w:bCs/>
        </w:rPr>
        <w:t xml:space="preserve">.  </w:t>
      </w:r>
    </w:p>
    <w:p w:rsidR="008D5774" w:rsidRPr="001A3657" w:rsidRDefault="008D5774" w:rsidP="008D577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bCs/>
        </w:rPr>
      </w:pPr>
      <w:r w:rsidRPr="001A3657">
        <w:rPr>
          <w:bCs/>
        </w:rPr>
        <w:t>IG (0.</w:t>
      </w:r>
      <w:r>
        <w:rPr>
          <w:bCs/>
        </w:rPr>
        <w:t>1</w:t>
      </w:r>
      <w:r w:rsidRPr="001A3657">
        <w:rPr>
          <w:bCs/>
        </w:rPr>
        <w:t xml:space="preserve"> mL/kg) </w:t>
      </w:r>
      <w:proofErr w:type="gramStart"/>
      <w:r w:rsidRPr="001A3657">
        <w:rPr>
          <w:bCs/>
        </w:rPr>
        <w:t>should be used</w:t>
      </w:r>
      <w:proofErr w:type="gramEnd"/>
      <w:r w:rsidRPr="001A3657">
        <w:rPr>
          <w:bCs/>
        </w:rPr>
        <w:t xml:space="preserve"> for children less than 12 months of age, immunocompromised persons, persons who have chronic liver disease, and persons for whom </w:t>
      </w:r>
      <w:proofErr w:type="spellStart"/>
      <w:r w:rsidRPr="001A3657">
        <w:rPr>
          <w:bCs/>
        </w:rPr>
        <w:t>HepA</w:t>
      </w:r>
      <w:proofErr w:type="spellEnd"/>
      <w:r w:rsidRPr="001A3657">
        <w:rPr>
          <w:bCs/>
        </w:rPr>
        <w:t xml:space="preserve"> vaccine is contraindicated.</w:t>
      </w:r>
    </w:p>
    <w:p w:rsidR="008D5774" w:rsidRDefault="008D5774" w:rsidP="008D577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bCs/>
        </w:rPr>
      </w:pPr>
      <w:r>
        <w:rPr>
          <w:bCs/>
        </w:rPr>
        <w:t xml:space="preserve">IG </w:t>
      </w:r>
      <w:r w:rsidRPr="001A3657">
        <w:rPr>
          <w:bCs/>
        </w:rPr>
        <w:t xml:space="preserve">is preferred for persons aged 41 years and older, however </w:t>
      </w:r>
      <w:proofErr w:type="spellStart"/>
      <w:r>
        <w:rPr>
          <w:bCs/>
        </w:rPr>
        <w:t>Hep</w:t>
      </w:r>
      <w:r w:rsidRPr="001A3657">
        <w:rPr>
          <w:bCs/>
        </w:rPr>
        <w:t>A</w:t>
      </w:r>
      <w:proofErr w:type="spellEnd"/>
      <w:r w:rsidRPr="001A3657">
        <w:rPr>
          <w:bCs/>
        </w:rPr>
        <w:t xml:space="preserve"> vaccine can be used if IG is not available</w:t>
      </w:r>
    </w:p>
    <w:p w:rsidR="008D5774" w:rsidRPr="001A3657" w:rsidRDefault="008D5774" w:rsidP="008D5774">
      <w:pPr>
        <w:numPr>
          <w:ilvl w:val="1"/>
          <w:numId w:val="7"/>
        </w:numPr>
        <w:autoSpaceDE w:val="0"/>
        <w:autoSpaceDN w:val="0"/>
        <w:adjustRightInd w:val="0"/>
        <w:spacing w:before="60"/>
        <w:rPr>
          <w:bCs/>
        </w:rPr>
      </w:pPr>
      <w:r>
        <w:rPr>
          <w:bCs/>
        </w:rPr>
        <w:t xml:space="preserve">IG may be used for persons eligible to be vaccinated, who elect not to receive </w:t>
      </w:r>
      <w:proofErr w:type="spellStart"/>
      <w:r>
        <w:rPr>
          <w:bCs/>
        </w:rPr>
        <w:t>HepA</w:t>
      </w:r>
      <w:proofErr w:type="spellEnd"/>
      <w:r>
        <w:rPr>
          <w:bCs/>
        </w:rPr>
        <w:t xml:space="preserve"> vaccine</w:t>
      </w:r>
    </w:p>
    <w:p w:rsidR="008D5774" w:rsidRDefault="008D5774" w:rsidP="008D5774">
      <w:pPr>
        <w:numPr>
          <w:ilvl w:val="0"/>
          <w:numId w:val="7"/>
        </w:numPr>
        <w:autoSpaceDE w:val="0"/>
        <w:autoSpaceDN w:val="0"/>
        <w:adjustRightInd w:val="0"/>
        <w:spacing w:before="60"/>
        <w:rPr>
          <w:bCs/>
        </w:rPr>
      </w:pPr>
      <w:r>
        <w:rPr>
          <w:bCs/>
        </w:rPr>
        <w:t xml:space="preserve">Both single antigen </w:t>
      </w:r>
      <w:proofErr w:type="spellStart"/>
      <w:r>
        <w:rPr>
          <w:bCs/>
        </w:rPr>
        <w:t>HepA</w:t>
      </w:r>
      <w:proofErr w:type="spellEnd"/>
      <w:r>
        <w:rPr>
          <w:bCs/>
        </w:rPr>
        <w:t xml:space="preserve"> vaccine and IG:  </w:t>
      </w:r>
      <w:r w:rsidRPr="001A3657">
        <w:rPr>
          <w:bCs/>
        </w:rPr>
        <w:t xml:space="preserve">Persons administered IG for whom </w:t>
      </w:r>
      <w:proofErr w:type="spellStart"/>
      <w:r w:rsidRPr="001A3657">
        <w:rPr>
          <w:bCs/>
        </w:rPr>
        <w:t>HepA</w:t>
      </w:r>
      <w:proofErr w:type="spellEnd"/>
      <w:r w:rsidRPr="001A3657">
        <w:rPr>
          <w:bCs/>
        </w:rPr>
        <w:t xml:space="preserve"> vaccine </w:t>
      </w:r>
      <w:proofErr w:type="gramStart"/>
      <w:r w:rsidRPr="001A3657">
        <w:rPr>
          <w:bCs/>
        </w:rPr>
        <w:t>is also recommended</w:t>
      </w:r>
      <w:proofErr w:type="gramEnd"/>
      <w:r w:rsidRPr="001A3657">
        <w:rPr>
          <w:bCs/>
        </w:rPr>
        <w:t xml:space="preserve"> for other reasons should receive a dose of vaccine simultaneously with IG.  For persons who receive </w:t>
      </w:r>
      <w:proofErr w:type="spellStart"/>
      <w:r w:rsidRPr="001A3657">
        <w:rPr>
          <w:bCs/>
        </w:rPr>
        <w:t>HepA</w:t>
      </w:r>
      <w:proofErr w:type="spellEnd"/>
      <w:r w:rsidRPr="001A3657">
        <w:rPr>
          <w:bCs/>
        </w:rPr>
        <w:t xml:space="preserve"> vaccine the second dose to complete the series </w:t>
      </w:r>
      <w:proofErr w:type="gramStart"/>
      <w:r w:rsidRPr="001A3657">
        <w:rPr>
          <w:bCs/>
        </w:rPr>
        <w:t>should be administered</w:t>
      </w:r>
      <w:proofErr w:type="gramEnd"/>
      <w:r w:rsidRPr="001A3657">
        <w:rPr>
          <w:bCs/>
        </w:rPr>
        <w:t xml:space="preserve"> according to the licensed schedule.</w:t>
      </w:r>
    </w:p>
    <w:p w:rsidR="008D5774" w:rsidRDefault="008D5774" w:rsidP="008D5774">
      <w:pPr>
        <w:autoSpaceDE w:val="0"/>
        <w:autoSpaceDN w:val="0"/>
        <w:adjustRightInd w:val="0"/>
        <w:spacing w:before="60"/>
        <w:ind w:left="720"/>
        <w:rPr>
          <w:bCs/>
        </w:rPr>
      </w:pPr>
    </w:p>
    <w:p w:rsidR="008D5774" w:rsidRDefault="008D5774" w:rsidP="008D5774">
      <w:pPr>
        <w:outlineLvl w:val="1"/>
        <w:rPr>
          <w:b/>
          <w:bCs/>
          <w:color w:val="auto"/>
          <w:szCs w:val="24"/>
        </w:rPr>
      </w:pPr>
    </w:p>
    <w:p w:rsidR="008D5774" w:rsidRDefault="008D5774" w:rsidP="008D5774">
      <w:pPr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br w:type="page"/>
      </w:r>
    </w:p>
    <w:p w:rsidR="008D5774" w:rsidRDefault="008D5774" w:rsidP="008D5774">
      <w:pPr>
        <w:outlineLvl w:val="1"/>
        <w:rPr>
          <w:b/>
          <w:bCs/>
          <w:color w:val="auto"/>
          <w:szCs w:val="24"/>
        </w:rPr>
      </w:pPr>
      <w:proofErr w:type="spellStart"/>
      <w:r w:rsidRPr="004514A2">
        <w:rPr>
          <w:b/>
          <w:bCs/>
          <w:color w:val="auto"/>
          <w:szCs w:val="24"/>
        </w:rPr>
        <w:lastRenderedPageBreak/>
        <w:t>Preexposure</w:t>
      </w:r>
      <w:proofErr w:type="spellEnd"/>
      <w:r w:rsidRPr="004514A2">
        <w:rPr>
          <w:b/>
          <w:bCs/>
          <w:color w:val="auto"/>
          <w:szCs w:val="24"/>
        </w:rPr>
        <w:t xml:space="preserve"> Prophylaxis for International Travel</w:t>
      </w:r>
    </w:p>
    <w:p w:rsidR="008D5774" w:rsidRPr="004514A2" w:rsidRDefault="008D5774" w:rsidP="008D5774">
      <w:pPr>
        <w:outlineLvl w:val="1"/>
        <w:rPr>
          <w:b/>
          <w:bCs/>
          <w:color w:val="auto"/>
          <w:szCs w:val="24"/>
        </w:rPr>
      </w:pPr>
    </w:p>
    <w:p w:rsidR="008D5774" w:rsidRDefault="008D5774" w:rsidP="008D5774">
      <w:pPr>
        <w:rPr>
          <w:color w:val="auto"/>
          <w:szCs w:val="24"/>
        </w:rPr>
      </w:pPr>
      <w:proofErr w:type="spellStart"/>
      <w:r w:rsidRPr="00C1329F">
        <w:rPr>
          <w:color w:val="auto"/>
          <w:szCs w:val="24"/>
        </w:rPr>
        <w:t>HepA</w:t>
      </w:r>
      <w:proofErr w:type="spellEnd"/>
      <w:r w:rsidRPr="00C1329F">
        <w:rPr>
          <w:color w:val="auto"/>
          <w:szCs w:val="24"/>
        </w:rPr>
        <w:t xml:space="preserve"> vaccine at the age-appropriate dose is preferred to IG</w:t>
      </w:r>
      <w:r>
        <w:rPr>
          <w:color w:val="auto"/>
          <w:szCs w:val="24"/>
        </w:rPr>
        <w:t xml:space="preserve"> (see page 1) for many people</w:t>
      </w:r>
      <w:r w:rsidRPr="00C1329F">
        <w:rPr>
          <w:color w:val="auto"/>
          <w:szCs w:val="24"/>
        </w:rPr>
        <w:t xml:space="preserve">. </w:t>
      </w:r>
      <w:r>
        <w:rPr>
          <w:color w:val="auto"/>
          <w:szCs w:val="24"/>
        </w:rPr>
        <w:t xml:space="preserve"> </w:t>
      </w:r>
    </w:p>
    <w:p w:rsidR="008D5774" w:rsidRDefault="008D5774" w:rsidP="008D5774">
      <w:pPr>
        <w:rPr>
          <w:color w:val="auto"/>
          <w:szCs w:val="24"/>
        </w:rPr>
      </w:pPr>
    </w:p>
    <w:p w:rsidR="008D5774" w:rsidRDefault="008D5774" w:rsidP="008D5774">
      <w:pPr>
        <w:rPr>
          <w:color w:val="auto"/>
          <w:szCs w:val="24"/>
        </w:rPr>
      </w:pPr>
      <w:r w:rsidRPr="00C1329F">
        <w:rPr>
          <w:color w:val="auto"/>
          <w:szCs w:val="24"/>
        </w:rPr>
        <w:t xml:space="preserve">Travelers who elect not to receive </w:t>
      </w:r>
      <w:proofErr w:type="spellStart"/>
      <w:r>
        <w:rPr>
          <w:color w:val="auto"/>
          <w:szCs w:val="24"/>
        </w:rPr>
        <w:t>Hep</w:t>
      </w:r>
      <w:r w:rsidRPr="00C1329F">
        <w:rPr>
          <w:color w:val="auto"/>
          <w:szCs w:val="24"/>
        </w:rPr>
        <w:t>A</w:t>
      </w:r>
      <w:proofErr w:type="spellEnd"/>
      <w:r w:rsidRPr="00C1329F">
        <w:rPr>
          <w:color w:val="auto"/>
          <w:szCs w:val="24"/>
        </w:rPr>
        <w:t xml:space="preserve"> vaccine, who are aged &lt;12 months, or who are allergic to a component of </w:t>
      </w:r>
      <w:proofErr w:type="spellStart"/>
      <w:r>
        <w:rPr>
          <w:color w:val="auto"/>
          <w:szCs w:val="24"/>
        </w:rPr>
        <w:t>Hep</w:t>
      </w:r>
      <w:r w:rsidRPr="00C1329F">
        <w:rPr>
          <w:color w:val="auto"/>
          <w:szCs w:val="24"/>
        </w:rPr>
        <w:t>A</w:t>
      </w:r>
      <w:proofErr w:type="spellEnd"/>
      <w:r w:rsidRPr="00C1329F">
        <w:rPr>
          <w:color w:val="auto"/>
          <w:szCs w:val="24"/>
        </w:rPr>
        <w:t xml:space="preserve"> vaccine should receive a single dose of IG before travel</w:t>
      </w:r>
    </w:p>
    <w:p w:rsidR="008D5774" w:rsidRDefault="008D5774" w:rsidP="008D5774">
      <w:pPr>
        <w:rPr>
          <w:color w:val="auto"/>
          <w:szCs w:val="24"/>
        </w:rPr>
      </w:pPr>
    </w:p>
    <w:p w:rsidR="008D5774" w:rsidRDefault="008D5774" w:rsidP="008D5774">
      <w:pPr>
        <w:rPr>
          <w:color w:val="auto"/>
          <w:szCs w:val="24"/>
        </w:rPr>
      </w:pPr>
      <w:r w:rsidRPr="00C1329F">
        <w:rPr>
          <w:color w:val="auto"/>
          <w:szCs w:val="24"/>
        </w:rPr>
        <w:t xml:space="preserve">For travel that will begin in ≤2 weeks to countries with high or intermediate hepatitis A </w:t>
      </w:r>
      <w:proofErr w:type="spellStart"/>
      <w:r w:rsidRPr="00C1329F">
        <w:rPr>
          <w:color w:val="auto"/>
          <w:szCs w:val="24"/>
        </w:rPr>
        <w:t>endemicity</w:t>
      </w:r>
      <w:proofErr w:type="spellEnd"/>
      <w:r>
        <w:rPr>
          <w:color w:val="auto"/>
          <w:szCs w:val="24"/>
        </w:rPr>
        <w:t xml:space="preserve"> </w:t>
      </w:r>
      <w:r w:rsidRPr="001A3657">
        <w:rPr>
          <w:szCs w:val="18"/>
        </w:rPr>
        <w:t>*</w:t>
      </w:r>
      <w:r w:rsidRPr="00C1329F">
        <w:rPr>
          <w:color w:val="auto"/>
          <w:szCs w:val="24"/>
        </w:rPr>
        <w:t xml:space="preserve">, older adults, immunocompromised persons, and persons with chronic liver disease or other chronic medical conditions may receive IG simultaneously with </w:t>
      </w:r>
      <w:proofErr w:type="spellStart"/>
      <w:r>
        <w:rPr>
          <w:color w:val="auto"/>
          <w:szCs w:val="24"/>
        </w:rPr>
        <w:t>Hep</w:t>
      </w:r>
      <w:r w:rsidRPr="00C1329F">
        <w:rPr>
          <w:color w:val="auto"/>
          <w:szCs w:val="24"/>
        </w:rPr>
        <w:t>A</w:t>
      </w:r>
      <w:proofErr w:type="spellEnd"/>
      <w:r w:rsidRPr="00C1329F">
        <w:rPr>
          <w:color w:val="auto"/>
          <w:szCs w:val="24"/>
        </w:rPr>
        <w:t xml:space="preserve"> vaccine at a separate anatomic injection site. </w:t>
      </w:r>
      <w:r>
        <w:rPr>
          <w:color w:val="auto"/>
          <w:szCs w:val="24"/>
        </w:rPr>
        <w:t xml:space="preserve"> </w:t>
      </w:r>
    </w:p>
    <w:p w:rsidR="008D5774" w:rsidRDefault="008D5774" w:rsidP="008D5774">
      <w:pPr>
        <w:rPr>
          <w:color w:val="auto"/>
          <w:szCs w:val="24"/>
        </w:rPr>
      </w:pPr>
    </w:p>
    <w:p w:rsidR="008D5774" w:rsidRPr="00C1329F" w:rsidRDefault="008D5774" w:rsidP="008D5774">
      <w:pPr>
        <w:rPr>
          <w:color w:val="auto"/>
          <w:szCs w:val="24"/>
        </w:rPr>
      </w:pPr>
    </w:p>
    <w:p w:rsidR="008D5774" w:rsidRDefault="008D5774" w:rsidP="008D5774">
      <w:pPr>
        <w:autoSpaceDE w:val="0"/>
        <w:autoSpaceDN w:val="0"/>
        <w:adjustRightInd w:val="0"/>
        <w:spacing w:before="60"/>
        <w:rPr>
          <w:bCs/>
        </w:rPr>
      </w:pPr>
      <w:r>
        <w:rPr>
          <w:bCs/>
        </w:rPr>
        <w:t xml:space="preserve">The following doses of IG (updated in 2017) </w:t>
      </w:r>
      <w:proofErr w:type="gramStart"/>
      <w:r>
        <w:rPr>
          <w:bCs/>
        </w:rPr>
        <w:t>are recommended</w:t>
      </w:r>
      <w:proofErr w:type="gramEnd"/>
      <w:r>
        <w:rPr>
          <w:bCs/>
        </w:rPr>
        <w:t xml:space="preserve"> for </w:t>
      </w:r>
      <w:proofErr w:type="spellStart"/>
      <w:r>
        <w:rPr>
          <w:bCs/>
        </w:rPr>
        <w:t>preexposure</w:t>
      </w:r>
      <w:proofErr w:type="spellEnd"/>
      <w:r>
        <w:rPr>
          <w:bCs/>
        </w:rPr>
        <w:t xml:space="preserve"> prophylaxis:</w:t>
      </w:r>
      <w:r>
        <w:rPr>
          <w:bCs/>
        </w:rPr>
        <w:br/>
      </w:r>
    </w:p>
    <w:p w:rsidR="008D5774" w:rsidRPr="004514A2" w:rsidRDefault="008D5774" w:rsidP="008D5774">
      <w:pPr>
        <w:autoSpaceDE w:val="0"/>
        <w:autoSpaceDN w:val="0"/>
        <w:adjustRightInd w:val="0"/>
        <w:spacing w:before="120" w:after="120"/>
        <w:ind w:left="1440"/>
        <w:rPr>
          <w:b/>
          <w:bCs/>
        </w:rPr>
      </w:pPr>
      <w:r w:rsidRPr="004514A2">
        <w:rPr>
          <w:b/>
          <w:bCs/>
          <w:u w:val="single"/>
        </w:rPr>
        <w:t xml:space="preserve">Length of Stay  </w:t>
      </w:r>
      <w:r w:rsidRPr="00F7547F">
        <w:rPr>
          <w:b/>
          <w:bCs/>
          <w:u w:val="single"/>
        </w:rPr>
        <w:t xml:space="preserve">                                 </w:t>
      </w:r>
      <w:r w:rsidRPr="004514A2">
        <w:rPr>
          <w:b/>
          <w:bCs/>
          <w:u w:val="single"/>
        </w:rPr>
        <w:t xml:space="preserve">    Dose</w:t>
      </w:r>
    </w:p>
    <w:p w:rsidR="008D5774" w:rsidRDefault="008D5774" w:rsidP="008D5774">
      <w:pPr>
        <w:tabs>
          <w:tab w:val="left" w:pos="5040"/>
        </w:tabs>
        <w:autoSpaceDE w:val="0"/>
        <w:autoSpaceDN w:val="0"/>
        <w:adjustRightInd w:val="0"/>
        <w:spacing w:before="120" w:after="120"/>
        <w:ind w:left="1440"/>
        <w:rPr>
          <w:bCs/>
        </w:rPr>
      </w:pPr>
      <w:r>
        <w:rPr>
          <w:bCs/>
        </w:rPr>
        <w:t xml:space="preserve">Up to 1 month </w:t>
      </w:r>
      <w:r>
        <w:rPr>
          <w:bCs/>
        </w:rPr>
        <w:tab/>
        <w:t>0.1 mL/kg</w:t>
      </w:r>
      <w:bookmarkStart w:id="1" w:name="_GoBack"/>
      <w:bookmarkEnd w:id="1"/>
    </w:p>
    <w:p w:rsidR="008D5774" w:rsidRDefault="008D5774" w:rsidP="008D5774">
      <w:pPr>
        <w:tabs>
          <w:tab w:val="left" w:pos="5040"/>
        </w:tabs>
        <w:autoSpaceDE w:val="0"/>
        <w:autoSpaceDN w:val="0"/>
        <w:adjustRightInd w:val="0"/>
        <w:spacing w:before="120" w:after="120"/>
        <w:ind w:left="1440"/>
        <w:rPr>
          <w:bCs/>
        </w:rPr>
      </w:pPr>
      <w:r>
        <w:rPr>
          <w:bCs/>
        </w:rPr>
        <w:t xml:space="preserve">Up to 2 months </w:t>
      </w:r>
      <w:r>
        <w:rPr>
          <w:bCs/>
        </w:rPr>
        <w:tab/>
        <w:t>0.2 mL/kg</w:t>
      </w:r>
    </w:p>
    <w:p w:rsidR="008D5774" w:rsidRDefault="008D5774" w:rsidP="008D5774">
      <w:pPr>
        <w:tabs>
          <w:tab w:val="left" w:pos="5040"/>
        </w:tabs>
        <w:autoSpaceDE w:val="0"/>
        <w:autoSpaceDN w:val="0"/>
        <w:adjustRightInd w:val="0"/>
        <w:spacing w:before="120" w:after="120"/>
        <w:ind w:left="1440"/>
        <w:rPr>
          <w:bCs/>
        </w:rPr>
      </w:pPr>
      <w:r>
        <w:rPr>
          <w:bCs/>
        </w:rPr>
        <w:t xml:space="preserve">More than 2 months </w:t>
      </w:r>
      <w:r>
        <w:rPr>
          <w:bCs/>
        </w:rPr>
        <w:tab/>
        <w:t>0.2 mL/kg (repeat every 2 months)</w:t>
      </w:r>
    </w:p>
    <w:p w:rsidR="008D5774" w:rsidRPr="001A3657" w:rsidRDefault="008D5774" w:rsidP="008D5774">
      <w:pPr>
        <w:autoSpaceDE w:val="0"/>
        <w:autoSpaceDN w:val="0"/>
        <w:adjustRightInd w:val="0"/>
        <w:spacing w:before="60"/>
        <w:rPr>
          <w:bCs/>
        </w:rPr>
      </w:pPr>
    </w:p>
    <w:p w:rsidR="008D5774" w:rsidRDefault="008D5774" w:rsidP="008D5774">
      <w:pPr>
        <w:rPr>
          <w:b/>
          <w:u w:val="single"/>
        </w:rPr>
      </w:pPr>
    </w:p>
    <w:p w:rsidR="008D5774" w:rsidRPr="001A3657" w:rsidRDefault="008D5774" w:rsidP="008D5774">
      <w:pPr>
        <w:autoSpaceDE w:val="0"/>
        <w:autoSpaceDN w:val="0"/>
        <w:adjustRightInd w:val="0"/>
        <w:ind w:left="1080"/>
      </w:pPr>
    </w:p>
    <w:p w:rsidR="008D5774" w:rsidRPr="001A3657" w:rsidRDefault="008D5774" w:rsidP="008D5774">
      <w:pPr>
        <w:autoSpaceDE w:val="0"/>
        <w:autoSpaceDN w:val="0"/>
        <w:adjustRightInd w:val="0"/>
        <w:ind w:left="864" w:hanging="144"/>
        <w:rPr>
          <w:szCs w:val="18"/>
        </w:rPr>
      </w:pPr>
      <w:r w:rsidRPr="001A3657">
        <w:rPr>
          <w:szCs w:val="18"/>
        </w:rPr>
        <w:t>*</w:t>
      </w:r>
      <w:r w:rsidRPr="001A3657">
        <w:t xml:space="preserve"> </w:t>
      </w:r>
      <w:r w:rsidRPr="001A3657">
        <w:rPr>
          <w:b/>
        </w:rPr>
        <w:t xml:space="preserve">Countries outside the US other than Canada, Australia, New Zealand, Japan, and Western Europe </w:t>
      </w:r>
      <w:proofErr w:type="gramStart"/>
      <w:r w:rsidRPr="001A3657">
        <w:rPr>
          <w:b/>
        </w:rPr>
        <w:t>should be considered</w:t>
      </w:r>
      <w:proofErr w:type="gramEnd"/>
      <w:r w:rsidRPr="001A3657">
        <w:rPr>
          <w:b/>
        </w:rPr>
        <w:t xml:space="preserve"> to have high or intermediate </w:t>
      </w:r>
      <w:proofErr w:type="spellStart"/>
      <w:r w:rsidRPr="001A3657">
        <w:rPr>
          <w:b/>
        </w:rPr>
        <w:t>endemicity</w:t>
      </w:r>
      <w:proofErr w:type="spellEnd"/>
      <w:r w:rsidRPr="001A3657">
        <w:rPr>
          <w:b/>
        </w:rPr>
        <w:t xml:space="preserve"> for hepatitis A virus.</w:t>
      </w:r>
      <w:r w:rsidRPr="001A3657">
        <w:rPr>
          <w:b/>
          <w:szCs w:val="18"/>
        </w:rPr>
        <w:t xml:space="preserve"> </w:t>
      </w:r>
    </w:p>
    <w:p w:rsidR="008D5774" w:rsidRPr="001A3657" w:rsidRDefault="008D5774" w:rsidP="008D5774">
      <w:pPr>
        <w:autoSpaceDE w:val="0"/>
        <w:autoSpaceDN w:val="0"/>
        <w:adjustRightInd w:val="0"/>
        <w:rPr>
          <w:szCs w:val="18"/>
        </w:rPr>
      </w:pPr>
    </w:p>
    <w:p w:rsidR="008D5774" w:rsidRDefault="008D5774" w:rsidP="008D5774">
      <w:pPr>
        <w:rPr>
          <w:b/>
          <w:u w:val="single"/>
        </w:rPr>
      </w:pPr>
    </w:p>
    <w:p w:rsidR="008D5774" w:rsidRDefault="008D5774" w:rsidP="008D5774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8D5774" w:rsidRDefault="008D5774" w:rsidP="008D5774">
      <w:pPr>
        <w:autoSpaceDE w:val="0"/>
        <w:autoSpaceDN w:val="0"/>
        <w:adjustRightInd w:val="0"/>
        <w:rPr>
          <w:b/>
        </w:rPr>
      </w:pPr>
      <w:r w:rsidRPr="00010FA1">
        <w:rPr>
          <w:b/>
          <w:u w:val="single"/>
        </w:rPr>
        <w:lastRenderedPageBreak/>
        <w:t>References</w:t>
      </w:r>
      <w:r w:rsidRPr="001A3657">
        <w:rPr>
          <w:b/>
        </w:rPr>
        <w:t>:</w:t>
      </w:r>
    </w:p>
    <w:p w:rsidR="008D5774" w:rsidRPr="001A3657" w:rsidRDefault="008D5774" w:rsidP="008D5774">
      <w:pPr>
        <w:autoSpaceDE w:val="0"/>
        <w:autoSpaceDN w:val="0"/>
        <w:adjustRightInd w:val="0"/>
        <w:rPr>
          <w:b/>
        </w:rPr>
      </w:pPr>
    </w:p>
    <w:p w:rsidR="008D5774" w:rsidRDefault="008D5774" w:rsidP="008D5774">
      <w:pPr>
        <w:autoSpaceDE w:val="0"/>
        <w:autoSpaceDN w:val="0"/>
        <w:adjustRightInd w:val="0"/>
      </w:pPr>
      <w:r>
        <w:t xml:space="preserve">New Recommendations to Increase the Dose of </w:t>
      </w:r>
      <w:proofErr w:type="spellStart"/>
      <w:r>
        <w:t>GamaSTAN</w:t>
      </w:r>
      <w:proofErr w:type="spellEnd"/>
      <w:r>
        <w:t xml:space="preserve"> S/D (Immune Globulin [Human]) When Used for Prophylaxis for Hepatitis A, </w:t>
      </w:r>
    </w:p>
    <w:p w:rsidR="008D5774" w:rsidRPr="009E4F0E" w:rsidRDefault="008D5774" w:rsidP="008D5774">
      <w:pPr>
        <w:autoSpaceDE w:val="0"/>
        <w:autoSpaceDN w:val="0"/>
        <w:adjustRightInd w:val="0"/>
        <w:rPr>
          <w:szCs w:val="24"/>
        </w:rPr>
      </w:pPr>
      <w:hyperlink r:id="rId7" w:tgtFrame="_blank" w:history="1">
        <w:r>
          <w:rPr>
            <w:rStyle w:val="Hyperlink"/>
            <w:szCs w:val="24"/>
          </w:rPr>
          <w:t>https://www.fda.gov/new-prescribing-recommendations-for-IG-in-hepatitis-A-PEP</w:t>
        </w:r>
      </w:hyperlink>
      <w:r>
        <w:rPr>
          <w:szCs w:val="24"/>
        </w:rPr>
        <w:t>.</w:t>
      </w: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  <w:r w:rsidRPr="003D1BB7">
        <w:t xml:space="preserve">Nelson NP. </w:t>
      </w:r>
      <w:r>
        <w:t xml:space="preserve"> </w:t>
      </w:r>
      <w:r w:rsidRPr="003D1BB7">
        <w:t xml:space="preserve">Updated Dosing Instructions for Immune Globulin (Human) </w:t>
      </w:r>
      <w:proofErr w:type="spellStart"/>
      <w:r w:rsidRPr="003D1BB7">
        <w:t>GamaSTAN</w:t>
      </w:r>
      <w:proofErr w:type="spellEnd"/>
      <w:r w:rsidRPr="003D1BB7">
        <w:t xml:space="preserve"> S/D for Hepatitis A Virus Prophylaxis. </w:t>
      </w:r>
      <w:r>
        <w:t xml:space="preserve"> </w:t>
      </w:r>
      <w:r w:rsidRPr="003D1BB7">
        <w:t xml:space="preserve">MMWR </w:t>
      </w:r>
      <w:proofErr w:type="spellStart"/>
      <w:r w:rsidRPr="003D1BB7">
        <w:t>Morb</w:t>
      </w:r>
      <w:proofErr w:type="spellEnd"/>
      <w:r w:rsidRPr="003D1BB7">
        <w:t xml:space="preserve"> Mortal </w:t>
      </w:r>
      <w:proofErr w:type="spellStart"/>
      <w:r w:rsidRPr="003D1BB7">
        <w:t>Wkly</w:t>
      </w:r>
      <w:proofErr w:type="spellEnd"/>
      <w:r w:rsidRPr="003D1BB7">
        <w:t xml:space="preserve"> Rep 2017</w:t>
      </w:r>
      <w:proofErr w:type="gramStart"/>
      <w:r w:rsidRPr="003D1BB7">
        <w:t>;66:959</w:t>
      </w:r>
      <w:proofErr w:type="gramEnd"/>
      <w:r w:rsidRPr="003D1BB7">
        <w:t>–960. DOI:</w:t>
      </w:r>
      <w:r>
        <w:t xml:space="preserve">  </w:t>
      </w:r>
      <w:hyperlink r:id="rId8" w:history="1">
        <w:r w:rsidRPr="004B2418">
          <w:rPr>
            <w:rStyle w:val="Hyperlink"/>
          </w:rPr>
          <w:t>http://dx.doi.org/10.15585/mmwr.mm6636a5</w:t>
        </w:r>
      </w:hyperlink>
      <w:r>
        <w:t xml:space="preserve"> </w:t>
      </w:r>
    </w:p>
    <w:p w:rsidR="008D5774" w:rsidRDefault="008D5774" w:rsidP="008D5774">
      <w:pPr>
        <w:autoSpaceDE w:val="0"/>
        <w:autoSpaceDN w:val="0"/>
        <w:adjustRightInd w:val="0"/>
      </w:pPr>
    </w:p>
    <w:p w:rsidR="008D5774" w:rsidRPr="001A3657" w:rsidRDefault="008D5774" w:rsidP="008D5774">
      <w:pPr>
        <w:autoSpaceDE w:val="0"/>
        <w:autoSpaceDN w:val="0"/>
        <w:adjustRightInd w:val="0"/>
      </w:pPr>
      <w:r w:rsidRPr="001A3657">
        <w:t xml:space="preserve">MMWR:  Advisory Committee on Immunization Practices Recommended Immunization Schedules for Persons Aged 0 </w:t>
      </w:r>
      <w:proofErr w:type="gramStart"/>
      <w:r w:rsidRPr="001A3657">
        <w:t>Through</w:t>
      </w:r>
      <w:proofErr w:type="gramEnd"/>
      <w:r w:rsidRPr="001A3657">
        <w:t xml:space="preserve"> 18 Years — United States, 201</w:t>
      </w:r>
      <w:r>
        <w:t>7,</w:t>
      </w:r>
    </w:p>
    <w:p w:rsidR="008D5774" w:rsidRPr="001A3657" w:rsidRDefault="008D5774" w:rsidP="008D5774">
      <w:pPr>
        <w:autoSpaceDE w:val="0"/>
        <w:autoSpaceDN w:val="0"/>
        <w:adjustRightInd w:val="0"/>
      </w:pPr>
      <w:hyperlink r:id="rId9" w:history="1">
        <w:r w:rsidRPr="009D14E2">
          <w:rPr>
            <w:rStyle w:val="Hyperlink"/>
          </w:rPr>
          <w:t>https://www.cdc.gov/vaccines/schedules/downloads/child/0-18yrs-child-combined-schedule.pdf</w:t>
        </w:r>
      </w:hyperlink>
      <w:r>
        <w:t xml:space="preserve">. </w:t>
      </w:r>
    </w:p>
    <w:p w:rsidR="008D5774" w:rsidRPr="001A3657" w:rsidRDefault="008D5774" w:rsidP="008D5774">
      <w:pPr>
        <w:autoSpaceDE w:val="0"/>
        <w:autoSpaceDN w:val="0"/>
        <w:adjustRightInd w:val="0"/>
      </w:pPr>
    </w:p>
    <w:p w:rsidR="008D5774" w:rsidRPr="001A3657" w:rsidRDefault="008D5774" w:rsidP="008D5774">
      <w:pPr>
        <w:autoSpaceDE w:val="0"/>
        <w:autoSpaceDN w:val="0"/>
        <w:adjustRightInd w:val="0"/>
        <w:rPr>
          <w:szCs w:val="24"/>
        </w:rPr>
      </w:pPr>
      <w:r w:rsidRPr="001A3657">
        <w:t xml:space="preserve">Recommended </w:t>
      </w:r>
      <w:r w:rsidRPr="001A3657">
        <w:rPr>
          <w:szCs w:val="24"/>
        </w:rPr>
        <w:t>Adult Immunization Schedule</w:t>
      </w:r>
      <w:r>
        <w:rPr>
          <w:szCs w:val="24"/>
        </w:rPr>
        <w:t xml:space="preserve">, </w:t>
      </w:r>
    </w:p>
    <w:p w:rsidR="008D5774" w:rsidRPr="001A3657" w:rsidRDefault="008D5774" w:rsidP="008D5774">
      <w:pPr>
        <w:rPr>
          <w:szCs w:val="24"/>
        </w:rPr>
      </w:pPr>
      <w:hyperlink r:id="rId10" w:history="1">
        <w:r w:rsidRPr="001A3657">
          <w:rPr>
            <w:rStyle w:val="Hyperlink"/>
            <w:szCs w:val="24"/>
          </w:rPr>
          <w:t>http://www.cdc.gov/vaccines/schedules/hcp/imz/adult.html</w:t>
        </w:r>
      </w:hyperlink>
    </w:p>
    <w:p w:rsidR="008D5774" w:rsidRPr="001A3657" w:rsidRDefault="008D5774" w:rsidP="008D5774">
      <w:pPr>
        <w:rPr>
          <w:szCs w:val="24"/>
        </w:rPr>
      </w:pPr>
    </w:p>
    <w:p w:rsidR="008D5774" w:rsidRPr="001A3657" w:rsidRDefault="008D5774" w:rsidP="008D5774">
      <w:pPr>
        <w:rPr>
          <w:szCs w:val="24"/>
        </w:rPr>
      </w:pPr>
      <w:r w:rsidRPr="001A3657">
        <w:rPr>
          <w:szCs w:val="24"/>
        </w:rPr>
        <w:t>Recommended Childhood Immunization Schedule</w:t>
      </w:r>
      <w:r>
        <w:rPr>
          <w:szCs w:val="24"/>
        </w:rPr>
        <w:t xml:space="preserve">, </w:t>
      </w:r>
    </w:p>
    <w:p w:rsidR="008D5774" w:rsidRPr="001A3657" w:rsidRDefault="008D5774" w:rsidP="008D5774">
      <w:pPr>
        <w:rPr>
          <w:szCs w:val="24"/>
        </w:rPr>
      </w:pPr>
      <w:hyperlink r:id="rId11" w:history="1">
        <w:r w:rsidRPr="001A3657">
          <w:rPr>
            <w:rStyle w:val="Hyperlink"/>
            <w:szCs w:val="24"/>
          </w:rPr>
          <w:t>http://www.cdc.gov/vaccines/schedules/hcp/imz/child-adolescent.html</w:t>
        </w:r>
      </w:hyperlink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  <w:r>
        <w:t xml:space="preserve">Package Insert:  </w:t>
      </w:r>
      <w:r w:rsidRPr="008D5774">
        <w:rPr>
          <w:b/>
          <w:color w:val="auto"/>
          <w:szCs w:val="24"/>
        </w:rPr>
        <w:t>HAVRIX</w:t>
      </w:r>
      <w:r w:rsidRPr="008D5774">
        <w:rPr>
          <w:b/>
          <w:color w:val="auto"/>
          <w:szCs w:val="24"/>
          <w:vertAlign w:val="superscript"/>
        </w:rPr>
        <w:t>®</w:t>
      </w:r>
      <w:r w:rsidRPr="00CF2C59">
        <w:rPr>
          <w:color w:val="auto"/>
          <w:szCs w:val="24"/>
        </w:rPr>
        <w:t xml:space="preserve"> </w:t>
      </w:r>
      <w:r>
        <w:rPr>
          <w:color w:val="auto"/>
          <w:szCs w:val="24"/>
        </w:rPr>
        <w:t>(manufactured by GlaxoSmithKline)</w:t>
      </w:r>
      <w:r>
        <w:t xml:space="preserve"> (Dated 05/2016)</w:t>
      </w:r>
    </w:p>
    <w:p w:rsidR="008D5774" w:rsidRDefault="008D5774" w:rsidP="008D5774">
      <w:pPr>
        <w:autoSpaceDE w:val="0"/>
        <w:autoSpaceDN w:val="0"/>
        <w:adjustRightInd w:val="0"/>
      </w:pPr>
      <w:hyperlink r:id="rId12" w:history="1">
        <w:r w:rsidRPr="007027F9">
          <w:rPr>
            <w:rStyle w:val="Hyperlink"/>
          </w:rPr>
          <w:t>https://www.gsksource.com/pharma/content/dam/GlaxoSmithKline/US/en/Prescribing_Information/Havrix/pdf/HAVRIX.PDF</w:t>
        </w:r>
      </w:hyperlink>
      <w:r>
        <w:t xml:space="preserve"> </w:t>
      </w: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  <w:r>
        <w:t xml:space="preserve">Package Insert:  </w:t>
      </w:r>
      <w:r w:rsidRPr="008D5774">
        <w:rPr>
          <w:b/>
          <w:color w:val="auto"/>
          <w:szCs w:val="24"/>
        </w:rPr>
        <w:t>VAQTA</w:t>
      </w:r>
      <w:r w:rsidRPr="008D5774">
        <w:rPr>
          <w:color w:val="auto"/>
          <w:szCs w:val="24"/>
          <w:vertAlign w:val="superscript"/>
        </w:rPr>
        <w:t>®</w:t>
      </w:r>
      <w:r w:rsidRPr="00CF2C59">
        <w:rPr>
          <w:color w:val="auto"/>
          <w:szCs w:val="24"/>
        </w:rPr>
        <w:t xml:space="preserve"> </w:t>
      </w:r>
      <w:r>
        <w:rPr>
          <w:color w:val="auto"/>
          <w:szCs w:val="24"/>
        </w:rPr>
        <w:t xml:space="preserve">(manufactured by Merck &amp; Co., </w:t>
      </w:r>
      <w:proofErr w:type="spellStart"/>
      <w:r>
        <w:rPr>
          <w:color w:val="auto"/>
          <w:szCs w:val="24"/>
        </w:rPr>
        <w:t>Inc</w:t>
      </w:r>
      <w:proofErr w:type="spellEnd"/>
      <w:r>
        <w:rPr>
          <w:color w:val="auto"/>
          <w:szCs w:val="24"/>
        </w:rPr>
        <w:t>)</w:t>
      </w:r>
      <w:r>
        <w:t xml:space="preserve"> (Dated 02/2014)</w:t>
      </w:r>
    </w:p>
    <w:p w:rsidR="008D5774" w:rsidRDefault="008D5774" w:rsidP="008D5774">
      <w:pPr>
        <w:autoSpaceDE w:val="0"/>
        <w:autoSpaceDN w:val="0"/>
        <w:adjustRightInd w:val="0"/>
      </w:pPr>
      <w:hyperlink r:id="rId13" w:history="1">
        <w:r w:rsidRPr="007027F9">
          <w:rPr>
            <w:rStyle w:val="Hyperlink"/>
          </w:rPr>
          <w:t>http://www.merck.com/product/usa/pi_circulars/v/vaqta/vaqta_pi.pdf</w:t>
        </w:r>
      </w:hyperlink>
      <w:r>
        <w:t xml:space="preserve"> </w:t>
      </w: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Default="008D5774" w:rsidP="008D5774">
      <w:pPr>
        <w:autoSpaceDE w:val="0"/>
        <w:autoSpaceDN w:val="0"/>
        <w:adjustRightInd w:val="0"/>
      </w:pPr>
    </w:p>
    <w:p w:rsidR="008D5774" w:rsidRPr="001A3657" w:rsidRDefault="008D5774" w:rsidP="008D5774">
      <w:pPr>
        <w:autoSpaceDE w:val="0"/>
        <w:autoSpaceDN w:val="0"/>
        <w:adjustRightInd w:val="0"/>
      </w:pPr>
    </w:p>
    <w:p w:rsidR="008D5774" w:rsidRPr="001A3657" w:rsidRDefault="008D5774" w:rsidP="008D5774">
      <w:pPr>
        <w:autoSpaceDE w:val="0"/>
        <w:autoSpaceDN w:val="0"/>
        <w:adjustRightInd w:val="0"/>
      </w:pPr>
    </w:p>
    <w:p w:rsidR="00F25F63" w:rsidRDefault="008D5774" w:rsidP="008D5774">
      <w:r w:rsidRPr="001A3657">
        <w:t>Updated January 31, 2010, August 1, 2012</w:t>
      </w:r>
      <w:r>
        <w:t xml:space="preserve">, </w:t>
      </w:r>
      <w:r w:rsidRPr="001A3657">
        <w:t>July 1, 2014</w:t>
      </w:r>
      <w:r>
        <w:t xml:space="preserve"> and October 12, 2017</w:t>
      </w:r>
    </w:p>
    <w:sectPr w:rsidR="00F25F6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B61" w:rsidRDefault="00650B61" w:rsidP="008D5774">
      <w:r>
        <w:separator/>
      </w:r>
    </w:p>
  </w:endnote>
  <w:endnote w:type="continuationSeparator" w:id="0">
    <w:p w:rsidR="00650B61" w:rsidRDefault="00650B61" w:rsidP="008D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774" w:rsidRDefault="008D5774">
    <w:pPr>
      <w:pStyle w:val="Footer"/>
      <w:jc w:val="center"/>
      <w:rPr>
        <w:color w:val="auto"/>
        <w:sz w:val="16"/>
        <w:szCs w:val="16"/>
      </w:rPr>
    </w:pPr>
    <w:r w:rsidRPr="008D5774">
      <w:rPr>
        <w:color w:val="auto"/>
        <w:sz w:val="16"/>
        <w:szCs w:val="16"/>
      </w:rPr>
      <w:t xml:space="preserve">Page </w:t>
    </w:r>
    <w:r w:rsidRPr="008D5774">
      <w:rPr>
        <w:color w:val="auto"/>
        <w:sz w:val="16"/>
        <w:szCs w:val="16"/>
      </w:rPr>
      <w:fldChar w:fldCharType="begin"/>
    </w:r>
    <w:r w:rsidRPr="008D5774">
      <w:rPr>
        <w:color w:val="auto"/>
        <w:sz w:val="16"/>
        <w:szCs w:val="16"/>
      </w:rPr>
      <w:instrText xml:space="preserve"> PAGE  \* Arabic  \* MERGEFORMAT </w:instrText>
    </w:r>
    <w:r w:rsidRPr="008D5774">
      <w:rPr>
        <w:color w:val="auto"/>
        <w:sz w:val="16"/>
        <w:szCs w:val="16"/>
      </w:rPr>
      <w:fldChar w:fldCharType="separate"/>
    </w:r>
    <w:r w:rsidR="00F7547F">
      <w:rPr>
        <w:noProof/>
        <w:color w:val="auto"/>
        <w:sz w:val="16"/>
        <w:szCs w:val="16"/>
      </w:rPr>
      <w:t>6</w:t>
    </w:r>
    <w:r w:rsidRPr="008D5774">
      <w:rPr>
        <w:color w:val="auto"/>
        <w:sz w:val="16"/>
        <w:szCs w:val="16"/>
      </w:rPr>
      <w:fldChar w:fldCharType="end"/>
    </w:r>
    <w:r w:rsidRPr="008D5774">
      <w:rPr>
        <w:color w:val="auto"/>
        <w:sz w:val="16"/>
        <w:szCs w:val="16"/>
      </w:rPr>
      <w:t xml:space="preserve"> of </w:t>
    </w:r>
    <w:r w:rsidRPr="008D5774">
      <w:rPr>
        <w:color w:val="auto"/>
        <w:sz w:val="16"/>
        <w:szCs w:val="16"/>
      </w:rPr>
      <w:fldChar w:fldCharType="begin"/>
    </w:r>
    <w:r w:rsidRPr="008D5774">
      <w:rPr>
        <w:color w:val="auto"/>
        <w:sz w:val="16"/>
        <w:szCs w:val="16"/>
      </w:rPr>
      <w:instrText xml:space="preserve"> NUMPAGES  \* Arabic  \* MERGEFORMAT </w:instrText>
    </w:r>
    <w:r w:rsidRPr="008D5774">
      <w:rPr>
        <w:color w:val="auto"/>
        <w:sz w:val="16"/>
        <w:szCs w:val="16"/>
      </w:rPr>
      <w:fldChar w:fldCharType="separate"/>
    </w:r>
    <w:r w:rsidR="00F7547F">
      <w:rPr>
        <w:noProof/>
        <w:color w:val="auto"/>
        <w:sz w:val="16"/>
        <w:szCs w:val="16"/>
      </w:rPr>
      <w:t>6</w:t>
    </w:r>
    <w:r w:rsidRPr="008D5774">
      <w:rPr>
        <w:color w:val="auto"/>
        <w:sz w:val="16"/>
        <w:szCs w:val="16"/>
      </w:rPr>
      <w:fldChar w:fldCharType="end"/>
    </w:r>
  </w:p>
  <w:p w:rsidR="008D5774" w:rsidRDefault="008D5774">
    <w:pPr>
      <w:pStyle w:val="Footer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>Core Clinical Service Guide</w:t>
    </w:r>
  </w:p>
  <w:p w:rsidR="008D5774" w:rsidRDefault="008D5774">
    <w:pPr>
      <w:pStyle w:val="Footer"/>
      <w:jc w:val="center"/>
      <w:rPr>
        <w:color w:val="auto"/>
        <w:sz w:val="16"/>
        <w:szCs w:val="16"/>
      </w:rPr>
    </w:pPr>
    <w:r>
      <w:rPr>
        <w:color w:val="auto"/>
        <w:sz w:val="16"/>
        <w:szCs w:val="16"/>
      </w:rPr>
      <w:t>Section:  Immunizations – (I) – (HAVRIX and VAQTA)</w:t>
    </w:r>
  </w:p>
  <w:p w:rsidR="008D5774" w:rsidRPr="008D5774" w:rsidRDefault="008D5774">
    <w:pPr>
      <w:pStyle w:val="Footer"/>
      <w:jc w:val="center"/>
      <w:rPr>
        <w:color w:val="5B9BD5" w:themeColor="accent1"/>
        <w:sz w:val="16"/>
        <w:szCs w:val="16"/>
      </w:rPr>
    </w:pPr>
    <w:r>
      <w:rPr>
        <w:color w:val="auto"/>
        <w:sz w:val="16"/>
        <w:szCs w:val="16"/>
      </w:rPr>
      <w:t>July 1, 2018</w:t>
    </w:r>
  </w:p>
  <w:p w:rsidR="008D5774" w:rsidRDefault="008D5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B61" w:rsidRDefault="00650B61" w:rsidP="008D5774">
      <w:r>
        <w:separator/>
      </w:r>
    </w:p>
  </w:footnote>
  <w:footnote w:type="continuationSeparator" w:id="0">
    <w:p w:rsidR="00650B61" w:rsidRDefault="00650B61" w:rsidP="008D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F4F"/>
    <w:multiLevelType w:val="hybridMultilevel"/>
    <w:tmpl w:val="F280E2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61500"/>
    <w:multiLevelType w:val="hybridMultilevel"/>
    <w:tmpl w:val="C7CECE36"/>
    <w:lvl w:ilvl="0" w:tplc="C63472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B16C8F"/>
    <w:multiLevelType w:val="hybridMultilevel"/>
    <w:tmpl w:val="ED8A7CC0"/>
    <w:lvl w:ilvl="0" w:tplc="F3C4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6A5"/>
    <w:multiLevelType w:val="hybridMultilevel"/>
    <w:tmpl w:val="156E62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89752B"/>
    <w:multiLevelType w:val="hybridMultilevel"/>
    <w:tmpl w:val="6D664C98"/>
    <w:lvl w:ilvl="0" w:tplc="F3C4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77E9D"/>
    <w:multiLevelType w:val="hybridMultilevel"/>
    <w:tmpl w:val="294C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333A1"/>
    <w:multiLevelType w:val="hybridMultilevel"/>
    <w:tmpl w:val="BC8A9D40"/>
    <w:lvl w:ilvl="0" w:tplc="F3C4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07D0D"/>
    <w:multiLevelType w:val="hybridMultilevel"/>
    <w:tmpl w:val="9FACF9E2"/>
    <w:lvl w:ilvl="0" w:tplc="0BAE8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C27E7"/>
    <w:multiLevelType w:val="hybridMultilevel"/>
    <w:tmpl w:val="1B1A0C8A"/>
    <w:lvl w:ilvl="0" w:tplc="F3C469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6F3841"/>
    <w:multiLevelType w:val="hybridMultilevel"/>
    <w:tmpl w:val="751C3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28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89"/>
    <w:rsid w:val="00650B61"/>
    <w:rsid w:val="008D5774"/>
    <w:rsid w:val="00A34389"/>
    <w:rsid w:val="00F25F63"/>
    <w:rsid w:val="00F7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5AE3E"/>
  <w15:chartTrackingRefBased/>
  <w15:docId w15:val="{007CA474-7D4C-4DDF-B041-FFB1812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77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D577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5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7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774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D57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4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vaccines/programs/vfc/downloads/resolutions/2015-06-15-mening.pdf" TargetMode="External"/><Relationship Id="rId13" Type="http://schemas.openxmlformats.org/officeDocument/2006/relationships/hyperlink" Target="http://www.merck.com/product/usa/pi_circulars/v/vaqta/vaqta_pi.pdf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immunize.org/catg.d/p3085.pdf?source=govdelivery&amp;utm_medium=email&amp;utm_source=govdelivery" TargetMode="External"/><Relationship Id="rId12" Type="http://schemas.openxmlformats.org/officeDocument/2006/relationships/hyperlink" Target="https://www.gsksource.com/pharma/content/dam/GlaxoSmithKline/US/en/Prescribing_Information/Havrix/pdf/HAVRIX.PDF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dc.gov/vaccines/schedules/hcp/imz/child-adolescent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dc.gov/hepatitis/Partners/Perinatal/EducationalMaterials.htm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vaccineshoppe.com/image.cf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olDphHcabFormTypes xmlns="4466f2a3-f624-42fa-becf-73c6367aacdc" xsi:nil="true"/>
    <chfsDpqiHcabAgency xmlns="e82f08f1-0813-4298-bae3-41851726d38f" xsi:nil="true"/>
  </documentManagement>
</p:properties>
</file>

<file path=customXml/itemProps1.xml><?xml version="1.0" encoding="utf-8"?>
<ds:datastoreItem xmlns:ds="http://schemas.openxmlformats.org/officeDocument/2006/customXml" ds:itemID="{6C738E53-0C2F-4098-885A-C90C41A49FAB}"/>
</file>

<file path=customXml/itemProps2.xml><?xml version="1.0" encoding="utf-8"?>
<ds:datastoreItem xmlns:ds="http://schemas.openxmlformats.org/officeDocument/2006/customXml" ds:itemID="{C3947C03-B70F-4714-A472-7F42E91674B6}"/>
</file>

<file path=customXml/itemProps3.xml><?xml version="1.0" encoding="utf-8"?>
<ds:datastoreItem xmlns:ds="http://schemas.openxmlformats.org/officeDocument/2006/customXml" ds:itemID="{5125BC38-15E8-476C-8944-F04F7F41BC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1550</Words>
  <Characters>8838</Characters>
  <Application>Microsoft Office Word</Application>
  <DocSecurity>0</DocSecurity>
  <Lines>73</Lines>
  <Paragraphs>20</Paragraphs>
  <ScaleCrop>false</ScaleCrop>
  <Company>Commonwealth of Kentucky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IMMUNIZATIONS - (I) - HepA (HAVRIX and VAQTA)</dc:title>
  <dc:subject/>
  <dc:creator>Cunningham, Troi (CHFS PH EPI)</dc:creator>
  <cp:keywords/>
  <dc:description/>
  <cp:lastModifiedBy>Cunningham, Troi (CHFS PH EPI)</cp:lastModifiedBy>
  <cp:revision>3</cp:revision>
  <dcterms:created xsi:type="dcterms:W3CDTF">2018-06-29T16:52:00Z</dcterms:created>
  <dcterms:modified xsi:type="dcterms:W3CDTF">2018-06-29T16:57:00Z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0x0101004AA3744AC592B640B8707D73CB378076</vt:lpwstr>
  </property>
</Properties>
</file>