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E1AA" w14:textId="5275E0FB" w:rsidR="00742F17" w:rsidRPr="00F118B5" w:rsidRDefault="00564E61" w:rsidP="00990C67">
      <w:pPr>
        <w:pStyle w:val="Title"/>
        <w:rPr>
          <w:rFonts w:cstheme="majorHAnsi"/>
        </w:rPr>
      </w:pPr>
      <w:r w:rsidRPr="00F118B5">
        <w:rPr>
          <w:rFonts w:cstheme="majorHAnsi"/>
        </w:rPr>
        <w:t>Tuberculosis Hospital Discharge Planning Checklist</w:t>
      </w:r>
    </w:p>
    <w:p w14:paraId="25FA52BA" w14:textId="246B0B42" w:rsidR="001D0921" w:rsidRPr="00A034B3" w:rsidRDefault="001D0921" w:rsidP="001D0921">
      <w:pPr>
        <w:rPr>
          <w:rFonts w:asciiTheme="majorHAnsi" w:hAnsiTheme="majorHAnsi" w:cstheme="majorHAnsi"/>
          <w:i/>
          <w:iCs/>
          <w:sz w:val="24"/>
          <w:szCs w:val="24"/>
        </w:rPr>
      </w:pPr>
      <w:hyperlink r:id="rId8" w:history="1">
        <w:r w:rsidRPr="00A034B3">
          <w:rPr>
            <w:rStyle w:val="Hyperlink"/>
            <w:rFonts w:asciiTheme="majorHAnsi" w:hAnsiTheme="majorHAnsi" w:cstheme="majorHAnsi"/>
            <w:i/>
            <w:iCs/>
            <w:sz w:val="24"/>
            <w:szCs w:val="24"/>
          </w:rPr>
          <w:t>Reporting Requirements</w:t>
        </w:r>
      </w:hyperlink>
      <w:r w:rsidRPr="00A034B3">
        <w:rPr>
          <w:rFonts w:asciiTheme="majorHAnsi" w:hAnsiTheme="majorHAnsi" w:cstheme="majorHAnsi"/>
          <w:i/>
          <w:iCs/>
          <w:sz w:val="24"/>
          <w:szCs w:val="24"/>
        </w:rPr>
        <w:t xml:space="preserve"> in Kentucky disease surveillance require priority notification of TB cases. Upon recognition of a confirmed or suspected TB case, a report is to be made to the local health department (LHD) within one business day. The LHD shall report confirmed or suspected TB cases to the DPH, TB Prevention and Control Program (TB Program), within one business day of notification. </w:t>
      </w:r>
    </w:p>
    <w:p w14:paraId="5788B9E9" w14:textId="09795C84" w:rsidR="002C46C6" w:rsidRPr="00F118B5" w:rsidRDefault="00564E61">
      <w:pPr>
        <w:pStyle w:val="Heading1"/>
        <w:rPr>
          <w:rFonts w:cstheme="majorHAnsi"/>
        </w:rPr>
      </w:pPr>
      <w:r w:rsidRPr="00F118B5">
        <w:rPr>
          <w:rFonts w:cstheme="majorHAnsi"/>
        </w:rPr>
        <w:t>Patient Information</w:t>
      </w:r>
    </w:p>
    <w:p w14:paraId="33510925" w14:textId="77777777" w:rsidR="002C46C6" w:rsidRPr="00A034B3" w:rsidRDefault="00564E61">
      <w:pPr>
        <w:rPr>
          <w:rFonts w:asciiTheme="majorHAnsi" w:hAnsiTheme="majorHAnsi" w:cstheme="majorHAnsi"/>
          <w:sz w:val="24"/>
          <w:szCs w:val="24"/>
        </w:rPr>
      </w:pPr>
      <w:r w:rsidRPr="00A034B3">
        <w:rPr>
          <w:rFonts w:asciiTheme="majorHAnsi" w:hAnsiTheme="majorHAnsi" w:cstheme="majorHAnsi"/>
          <w:b/>
          <w:sz w:val="24"/>
          <w:szCs w:val="24"/>
        </w:rPr>
        <w:t xml:space="preserve">Patient Name: </w:t>
      </w:r>
      <w:r w:rsidRPr="00A034B3">
        <w:rPr>
          <w:rFonts w:asciiTheme="majorHAnsi" w:hAnsiTheme="majorHAnsi" w:cstheme="majorHAnsi"/>
          <w:sz w:val="24"/>
          <w:szCs w:val="24"/>
        </w:rPr>
        <w:t>________________________________________</w:t>
      </w:r>
    </w:p>
    <w:p w14:paraId="46D8A0B1" w14:textId="77777777" w:rsidR="002C46C6" w:rsidRPr="00A034B3" w:rsidRDefault="00564E61">
      <w:pPr>
        <w:rPr>
          <w:rFonts w:asciiTheme="majorHAnsi" w:hAnsiTheme="majorHAnsi" w:cstheme="majorHAnsi"/>
          <w:sz w:val="24"/>
          <w:szCs w:val="24"/>
        </w:rPr>
      </w:pPr>
      <w:r w:rsidRPr="00A034B3">
        <w:rPr>
          <w:rFonts w:asciiTheme="majorHAnsi" w:hAnsiTheme="majorHAnsi" w:cstheme="majorHAnsi"/>
          <w:b/>
          <w:sz w:val="24"/>
          <w:szCs w:val="24"/>
        </w:rPr>
        <w:t xml:space="preserve">DOB: </w:t>
      </w:r>
      <w:r w:rsidRPr="00A034B3">
        <w:rPr>
          <w:rFonts w:asciiTheme="majorHAnsi" w:hAnsiTheme="majorHAnsi" w:cstheme="majorHAnsi"/>
          <w:sz w:val="24"/>
          <w:szCs w:val="24"/>
        </w:rPr>
        <w:t>________________________________________</w:t>
      </w:r>
    </w:p>
    <w:p w14:paraId="7F996E61" w14:textId="6515F26F" w:rsidR="002C46C6" w:rsidRPr="00A034B3" w:rsidRDefault="005C1F7F">
      <w:pPr>
        <w:rPr>
          <w:rFonts w:asciiTheme="majorHAnsi" w:hAnsiTheme="majorHAnsi" w:cstheme="majorHAnsi"/>
          <w:sz w:val="24"/>
          <w:szCs w:val="24"/>
        </w:rPr>
      </w:pPr>
      <w:r w:rsidRPr="00A034B3">
        <w:rPr>
          <w:rFonts w:asciiTheme="majorHAnsi" w:hAnsiTheme="majorHAnsi" w:cstheme="majorHAnsi"/>
          <w:b/>
          <w:sz w:val="24"/>
          <w:szCs w:val="24"/>
        </w:rPr>
        <w:t xml:space="preserve">Hospital </w:t>
      </w:r>
      <w:r w:rsidR="00564E61" w:rsidRPr="00A034B3">
        <w:rPr>
          <w:rFonts w:asciiTheme="majorHAnsi" w:hAnsiTheme="majorHAnsi" w:cstheme="majorHAnsi"/>
          <w:b/>
          <w:sz w:val="24"/>
          <w:szCs w:val="24"/>
        </w:rPr>
        <w:t>Discharge Planner</w:t>
      </w:r>
      <w:r w:rsidR="006A090C" w:rsidRPr="00A034B3">
        <w:rPr>
          <w:rFonts w:asciiTheme="majorHAnsi" w:hAnsiTheme="majorHAnsi" w:cstheme="majorHAnsi"/>
          <w:b/>
          <w:sz w:val="24"/>
          <w:szCs w:val="24"/>
        </w:rPr>
        <w:t xml:space="preserve"> (Name and Phone)</w:t>
      </w:r>
      <w:r w:rsidR="00564E61" w:rsidRPr="00A034B3">
        <w:rPr>
          <w:rFonts w:asciiTheme="majorHAnsi" w:hAnsiTheme="majorHAnsi" w:cstheme="majorHAnsi"/>
          <w:b/>
          <w:sz w:val="24"/>
          <w:szCs w:val="24"/>
        </w:rPr>
        <w:t>:</w:t>
      </w:r>
      <w:r w:rsidR="00563171" w:rsidRPr="00563171">
        <w:rPr>
          <w:rFonts w:asciiTheme="majorHAnsi" w:hAnsiTheme="majorHAnsi" w:cstheme="majorHAnsi"/>
          <w:sz w:val="24"/>
          <w:szCs w:val="24"/>
        </w:rPr>
        <w:t xml:space="preserve"> </w:t>
      </w:r>
      <w:r w:rsidR="00563171" w:rsidRPr="00880718">
        <w:rPr>
          <w:rFonts w:asciiTheme="majorHAnsi" w:hAnsiTheme="majorHAnsi" w:cstheme="majorHAnsi"/>
          <w:sz w:val="24"/>
          <w:szCs w:val="24"/>
        </w:rPr>
        <w:t>______________________________</w:t>
      </w:r>
      <w:r w:rsidR="00563171">
        <w:rPr>
          <w:rFonts w:asciiTheme="majorHAnsi" w:hAnsiTheme="majorHAnsi" w:cstheme="majorHAnsi"/>
          <w:sz w:val="24"/>
          <w:szCs w:val="24"/>
        </w:rPr>
        <w:t>__</w:t>
      </w:r>
      <w:r w:rsidR="006A090C" w:rsidRPr="00A034B3">
        <w:rPr>
          <w:rFonts w:asciiTheme="majorHAnsi" w:hAnsiTheme="majorHAnsi" w:cstheme="majorHAnsi"/>
          <w:b/>
          <w:sz w:val="24"/>
          <w:szCs w:val="24"/>
        </w:rPr>
        <w:t xml:space="preserve">  </w:t>
      </w:r>
    </w:p>
    <w:p w14:paraId="3C2C7567" w14:textId="7871A442" w:rsidR="002C46C6" w:rsidRPr="00A034B3" w:rsidRDefault="00564E61">
      <w:pPr>
        <w:rPr>
          <w:rFonts w:asciiTheme="majorHAnsi" w:hAnsiTheme="majorHAnsi" w:cstheme="majorHAnsi"/>
          <w:sz w:val="24"/>
          <w:szCs w:val="24"/>
        </w:rPr>
      </w:pPr>
      <w:r w:rsidRPr="00A034B3">
        <w:rPr>
          <w:rFonts w:asciiTheme="majorHAnsi" w:hAnsiTheme="majorHAnsi" w:cstheme="majorHAnsi"/>
          <w:b/>
          <w:sz w:val="24"/>
          <w:szCs w:val="24"/>
        </w:rPr>
        <w:t xml:space="preserve">Local Health Department (Name &amp; Phone): </w:t>
      </w:r>
      <w:r w:rsidR="00563171" w:rsidRPr="00880718">
        <w:rPr>
          <w:rFonts w:asciiTheme="majorHAnsi" w:hAnsiTheme="majorHAnsi" w:cstheme="majorHAnsi"/>
          <w:sz w:val="24"/>
          <w:szCs w:val="24"/>
        </w:rPr>
        <w:t>______________________________</w:t>
      </w:r>
      <w:r w:rsidR="00563171">
        <w:rPr>
          <w:rFonts w:asciiTheme="majorHAnsi" w:hAnsiTheme="majorHAnsi" w:cstheme="majorHAnsi"/>
          <w:sz w:val="24"/>
          <w:szCs w:val="24"/>
        </w:rPr>
        <w:t>______</w:t>
      </w:r>
      <w:r w:rsidR="00563171" w:rsidRPr="00880718">
        <w:rPr>
          <w:rFonts w:asciiTheme="majorHAnsi" w:hAnsiTheme="majorHAnsi" w:cstheme="majorHAnsi"/>
          <w:b/>
          <w:sz w:val="24"/>
          <w:szCs w:val="24"/>
        </w:rPr>
        <w:t xml:space="preserve">  </w:t>
      </w:r>
    </w:p>
    <w:p w14:paraId="10A0B521" w14:textId="2783897E" w:rsidR="002C46C6" w:rsidRPr="00A034B3" w:rsidRDefault="00564E61">
      <w:pPr>
        <w:rPr>
          <w:rFonts w:asciiTheme="majorHAnsi" w:hAnsiTheme="majorHAnsi" w:cstheme="majorHAnsi"/>
          <w:sz w:val="24"/>
          <w:szCs w:val="24"/>
        </w:rPr>
      </w:pPr>
      <w:r w:rsidRPr="00A034B3">
        <w:rPr>
          <w:rFonts w:asciiTheme="majorHAnsi" w:hAnsiTheme="majorHAnsi" w:cstheme="majorHAnsi"/>
          <w:b/>
          <w:sz w:val="24"/>
          <w:szCs w:val="24"/>
        </w:rPr>
        <w:t xml:space="preserve">TB </w:t>
      </w:r>
      <w:r w:rsidR="00742F17" w:rsidRPr="00A034B3">
        <w:rPr>
          <w:rFonts w:asciiTheme="majorHAnsi" w:hAnsiTheme="majorHAnsi" w:cstheme="majorHAnsi"/>
          <w:b/>
          <w:sz w:val="24"/>
          <w:szCs w:val="24"/>
        </w:rPr>
        <w:t xml:space="preserve">Clinician </w:t>
      </w:r>
      <w:r w:rsidRPr="00A034B3">
        <w:rPr>
          <w:rFonts w:asciiTheme="majorHAnsi" w:hAnsiTheme="majorHAnsi" w:cstheme="majorHAnsi"/>
          <w:b/>
          <w:sz w:val="24"/>
          <w:szCs w:val="24"/>
        </w:rPr>
        <w:t xml:space="preserve">(Name &amp; Phone): </w:t>
      </w:r>
      <w:r w:rsidR="00563171" w:rsidRPr="00880718">
        <w:rPr>
          <w:rFonts w:asciiTheme="majorHAnsi" w:hAnsiTheme="majorHAnsi" w:cstheme="majorHAnsi"/>
          <w:sz w:val="24"/>
          <w:szCs w:val="24"/>
        </w:rPr>
        <w:t>______________________________</w:t>
      </w:r>
      <w:r w:rsidR="00563171">
        <w:rPr>
          <w:rFonts w:asciiTheme="majorHAnsi" w:hAnsiTheme="majorHAnsi" w:cstheme="majorHAnsi"/>
          <w:sz w:val="24"/>
          <w:szCs w:val="24"/>
        </w:rPr>
        <w:t>_________________</w:t>
      </w:r>
      <w:r w:rsidR="00563171" w:rsidRPr="00880718">
        <w:rPr>
          <w:rFonts w:asciiTheme="majorHAnsi" w:hAnsiTheme="majorHAnsi" w:cstheme="majorHAnsi"/>
          <w:b/>
          <w:sz w:val="24"/>
          <w:szCs w:val="24"/>
        </w:rPr>
        <w:t xml:space="preserve">  </w:t>
      </w:r>
    </w:p>
    <w:p w14:paraId="00517C1F" w14:textId="564E9C5C" w:rsidR="002C46C6" w:rsidRPr="00F118B5" w:rsidRDefault="00564E61">
      <w:pPr>
        <w:pStyle w:val="Heading1"/>
        <w:rPr>
          <w:rFonts w:cstheme="majorHAnsi"/>
        </w:rPr>
      </w:pPr>
      <w:r w:rsidRPr="00F118B5">
        <w:rPr>
          <w:rFonts w:cstheme="majorHAnsi"/>
        </w:rPr>
        <w:t>1. Reporting &amp; Publi</w:t>
      </w:r>
      <w:r w:rsidR="005D62C3" w:rsidRPr="00F118B5">
        <w:rPr>
          <w:rFonts w:cstheme="majorHAnsi"/>
        </w:rPr>
        <w:t>c H</w:t>
      </w:r>
      <w:r w:rsidRPr="00F118B5">
        <w:rPr>
          <w:rFonts w:cstheme="majorHAnsi"/>
        </w:rPr>
        <w:t>ealth Coordination</w:t>
      </w:r>
    </w:p>
    <w:p w14:paraId="09045622" w14:textId="65676C34" w:rsidR="00990C67" w:rsidRPr="00A034B3" w:rsidRDefault="00564E61" w:rsidP="00990C67">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Discharge plan agreed upon</w:t>
      </w:r>
      <w:r w:rsidR="00990C67" w:rsidRPr="00A034B3">
        <w:rPr>
          <w:rFonts w:asciiTheme="majorHAnsi" w:hAnsiTheme="majorHAnsi" w:cstheme="majorHAnsi"/>
        </w:rPr>
        <w:t xml:space="preserve"> by the hospital and LHD jurisdiction</w:t>
      </w:r>
      <w:r w:rsidRPr="00A034B3">
        <w:rPr>
          <w:rFonts w:asciiTheme="majorHAnsi" w:hAnsiTheme="majorHAnsi" w:cstheme="majorHAnsi"/>
        </w:rPr>
        <w:t xml:space="preserve"> ≥</w:t>
      </w:r>
      <w:r w:rsidR="006A090C" w:rsidRPr="00A034B3">
        <w:rPr>
          <w:rFonts w:asciiTheme="majorHAnsi" w:hAnsiTheme="majorHAnsi" w:cstheme="majorHAnsi"/>
        </w:rPr>
        <w:t>24</w:t>
      </w:r>
      <w:r w:rsidRPr="00A034B3">
        <w:rPr>
          <w:rFonts w:asciiTheme="majorHAnsi" w:hAnsiTheme="majorHAnsi" w:cstheme="majorHAnsi"/>
        </w:rPr>
        <w:t xml:space="preserve"> hours prior to discharge</w:t>
      </w:r>
      <w:r w:rsidR="00990C67" w:rsidRPr="00A034B3">
        <w:rPr>
          <w:rFonts w:asciiTheme="majorHAnsi" w:hAnsiTheme="majorHAnsi" w:cstheme="majorHAnsi"/>
        </w:rPr>
        <w:t xml:space="preserve">. </w:t>
      </w:r>
    </w:p>
    <w:p w14:paraId="72B854CF" w14:textId="3AB77329" w:rsidR="00990C67" w:rsidRPr="00A034B3" w:rsidRDefault="00990C67" w:rsidP="00990C67">
      <w:pPr>
        <w:pStyle w:val="ListParagraph"/>
        <w:numPr>
          <w:ilvl w:val="0"/>
          <w:numId w:val="12"/>
        </w:numPr>
        <w:spacing w:line="240" w:lineRule="auto"/>
        <w:rPr>
          <w:rFonts w:asciiTheme="majorHAnsi" w:hAnsiTheme="majorHAnsi" w:cstheme="majorHAnsi"/>
        </w:rPr>
      </w:pPr>
      <w:r w:rsidRPr="00A034B3">
        <w:rPr>
          <w:rFonts w:asciiTheme="majorHAnsi" w:hAnsiTheme="majorHAnsi" w:cstheme="majorHAnsi"/>
        </w:rPr>
        <w:t>Assure sputum collection has been initiated and inquire i</w:t>
      </w:r>
      <w:r w:rsidR="00563171">
        <w:rPr>
          <w:rFonts w:asciiTheme="majorHAnsi" w:hAnsiTheme="majorHAnsi" w:cstheme="majorHAnsi"/>
        </w:rPr>
        <w:t>f</w:t>
      </w:r>
      <w:r w:rsidRPr="00A034B3">
        <w:rPr>
          <w:rFonts w:asciiTheme="majorHAnsi" w:hAnsiTheme="majorHAnsi" w:cstheme="majorHAnsi"/>
        </w:rPr>
        <w:t xml:space="preserve"> patient has any signs or symptoms</w:t>
      </w:r>
    </w:p>
    <w:p w14:paraId="14E03DCE" w14:textId="5D1E4BD8" w:rsidR="00990C67" w:rsidRPr="00A034B3" w:rsidRDefault="00990C67" w:rsidP="00990C67">
      <w:pPr>
        <w:pStyle w:val="ListParagraph"/>
        <w:numPr>
          <w:ilvl w:val="0"/>
          <w:numId w:val="12"/>
        </w:numPr>
        <w:rPr>
          <w:rFonts w:asciiTheme="majorHAnsi" w:hAnsiTheme="majorHAnsi" w:cstheme="majorHAnsi"/>
        </w:rPr>
      </w:pPr>
      <w:r w:rsidRPr="00A034B3">
        <w:rPr>
          <w:rFonts w:asciiTheme="majorHAnsi" w:hAnsiTheme="majorHAnsi" w:cstheme="majorHAnsi"/>
        </w:rPr>
        <w:t>Ask for results of sputum smear(s), PCR (GeneXpert), and/or culture(s)</w:t>
      </w:r>
    </w:p>
    <w:p w14:paraId="391EE1DE" w14:textId="214689E8" w:rsidR="00990C67" w:rsidRPr="00A034B3" w:rsidRDefault="00990C67" w:rsidP="00990C67">
      <w:pPr>
        <w:pStyle w:val="ListParagraph"/>
        <w:numPr>
          <w:ilvl w:val="0"/>
          <w:numId w:val="13"/>
        </w:numPr>
        <w:rPr>
          <w:rFonts w:asciiTheme="majorHAnsi" w:hAnsiTheme="majorHAnsi" w:cstheme="majorHAnsi"/>
        </w:rPr>
      </w:pPr>
      <w:r w:rsidRPr="00A034B3">
        <w:rPr>
          <w:rFonts w:asciiTheme="majorHAnsi" w:hAnsiTheme="majorHAnsi" w:cstheme="majorHAnsi"/>
        </w:rPr>
        <w:t xml:space="preserve">If PCR or GeneXpert not performed, the facility will need to collect more sputum to send to DLS for GeneXpert </w:t>
      </w:r>
    </w:p>
    <w:p w14:paraId="48FEC5CF" w14:textId="77777777" w:rsidR="00990C67" w:rsidRPr="00A034B3" w:rsidRDefault="00990C67" w:rsidP="00990C67">
      <w:pPr>
        <w:pStyle w:val="ListParagraph"/>
        <w:numPr>
          <w:ilvl w:val="0"/>
          <w:numId w:val="11"/>
        </w:numPr>
        <w:rPr>
          <w:rFonts w:asciiTheme="majorHAnsi" w:hAnsiTheme="majorHAnsi" w:cstheme="majorHAnsi"/>
        </w:rPr>
      </w:pPr>
      <w:r w:rsidRPr="00A034B3">
        <w:rPr>
          <w:rFonts w:asciiTheme="majorHAnsi" w:hAnsiTheme="majorHAnsi" w:cstheme="majorHAnsi"/>
        </w:rPr>
        <w:t>Ask if meds have been started. If so, confirm date initiated and dosages.</w:t>
      </w:r>
    </w:p>
    <w:p w14:paraId="51166F5D" w14:textId="09661294" w:rsidR="00990C67" w:rsidRPr="00A034B3" w:rsidRDefault="00990C67" w:rsidP="005C1F7F">
      <w:pPr>
        <w:pStyle w:val="ListParagraph"/>
        <w:numPr>
          <w:ilvl w:val="1"/>
          <w:numId w:val="11"/>
        </w:numPr>
        <w:rPr>
          <w:rFonts w:asciiTheme="majorHAnsi" w:hAnsiTheme="majorHAnsi" w:cstheme="majorHAnsi"/>
        </w:rPr>
      </w:pPr>
      <w:r w:rsidRPr="00A034B3">
        <w:rPr>
          <w:rFonts w:asciiTheme="majorHAnsi" w:hAnsiTheme="majorHAnsi" w:cstheme="majorHAnsi"/>
        </w:rPr>
        <w:t>If not, then recommend waiting to initiate until more sputum has been collected. (Medication can be started after collection of 3 s</w:t>
      </w:r>
      <w:r w:rsidR="005C1F7F" w:rsidRPr="00A034B3">
        <w:rPr>
          <w:rFonts w:asciiTheme="majorHAnsi" w:hAnsiTheme="majorHAnsi" w:cstheme="majorHAnsi"/>
        </w:rPr>
        <w:t>pecimens</w:t>
      </w:r>
      <w:r w:rsidRPr="00A034B3">
        <w:rPr>
          <w:rFonts w:asciiTheme="majorHAnsi" w:hAnsiTheme="majorHAnsi" w:cstheme="majorHAnsi"/>
        </w:rPr>
        <w:t xml:space="preserve"> of sputum)</w:t>
      </w:r>
    </w:p>
    <w:p w14:paraId="531DDFBC" w14:textId="6EF6E149" w:rsidR="002C46C6"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w:t>
      </w:r>
      <w:r w:rsidR="00990C67" w:rsidRPr="00A034B3">
        <w:rPr>
          <w:rFonts w:asciiTheme="majorHAnsi" w:hAnsiTheme="majorHAnsi" w:cstheme="majorHAnsi"/>
        </w:rPr>
        <w:t>Attending Hospital Clinician</w:t>
      </w:r>
      <w:r w:rsidRPr="00A034B3">
        <w:rPr>
          <w:rFonts w:asciiTheme="majorHAnsi" w:hAnsiTheme="majorHAnsi" w:cstheme="majorHAnsi"/>
        </w:rPr>
        <w:t xml:space="preserve"> </w:t>
      </w:r>
      <w:r w:rsidR="00990C67" w:rsidRPr="00A034B3">
        <w:rPr>
          <w:rFonts w:asciiTheme="majorHAnsi" w:hAnsiTheme="majorHAnsi" w:cstheme="majorHAnsi"/>
        </w:rPr>
        <w:t xml:space="preserve">has </w:t>
      </w:r>
      <w:r w:rsidRPr="00A034B3">
        <w:rPr>
          <w:rFonts w:asciiTheme="majorHAnsi" w:hAnsiTheme="majorHAnsi" w:cstheme="majorHAnsi"/>
        </w:rPr>
        <w:t>communicated with local health department</w:t>
      </w:r>
      <w:r w:rsidR="00990C67" w:rsidRPr="00A034B3">
        <w:rPr>
          <w:rFonts w:asciiTheme="majorHAnsi" w:hAnsiTheme="majorHAnsi" w:cstheme="majorHAnsi"/>
        </w:rPr>
        <w:t xml:space="preserve"> TB contract Clinician, provi</w:t>
      </w:r>
      <w:r w:rsidR="00F46796" w:rsidRPr="00A034B3">
        <w:rPr>
          <w:rFonts w:asciiTheme="majorHAnsi" w:hAnsiTheme="majorHAnsi" w:cstheme="majorHAnsi"/>
        </w:rPr>
        <w:t>di</w:t>
      </w:r>
      <w:r w:rsidR="00990C67" w:rsidRPr="00A034B3">
        <w:rPr>
          <w:rFonts w:asciiTheme="majorHAnsi" w:hAnsiTheme="majorHAnsi" w:cstheme="majorHAnsi"/>
        </w:rPr>
        <w:t xml:space="preserve">ng report </w:t>
      </w:r>
    </w:p>
    <w:p w14:paraId="58A5CFBF" w14:textId="41E47732"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Request facility to share with the NCM weekly MAR, labs, radiology and patient disposition</w:t>
      </w:r>
    </w:p>
    <w:p w14:paraId="08AF6390" w14:textId="3DF5100C" w:rsidR="00990C67"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Local health department nurse visited patient </w:t>
      </w:r>
      <w:r w:rsidR="00990C67" w:rsidRPr="00A034B3">
        <w:rPr>
          <w:rFonts w:asciiTheme="majorHAnsi" w:hAnsiTheme="majorHAnsi" w:cstheme="majorHAnsi"/>
        </w:rPr>
        <w:t>in hospital:</w:t>
      </w:r>
    </w:p>
    <w:p w14:paraId="222EC0F0" w14:textId="5FF87CDB"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lastRenderedPageBreak/>
        <w:t xml:space="preserve">Ask Infection Control if patient is alert and can be interviewed. Explain that you will need to inquire </w:t>
      </w:r>
      <w:r w:rsidR="00A034B3">
        <w:rPr>
          <w:rFonts w:asciiTheme="majorHAnsi" w:hAnsiTheme="majorHAnsi" w:cstheme="majorHAnsi"/>
        </w:rPr>
        <w:t>a</w:t>
      </w:r>
      <w:r w:rsidR="00A034B3" w:rsidRPr="00A034B3">
        <w:rPr>
          <w:rFonts w:asciiTheme="majorHAnsi" w:hAnsiTheme="majorHAnsi" w:cstheme="majorHAnsi"/>
        </w:rPr>
        <w:t>bout the onset date of any sign or symptoms to determine date of infectious period</w:t>
      </w:r>
    </w:p>
    <w:p w14:paraId="607A2294" w14:textId="77777777" w:rsidR="00990C67" w:rsidRPr="00A034B3" w:rsidRDefault="00990C67" w:rsidP="005C1F7F">
      <w:pPr>
        <w:pStyle w:val="ListParagraph"/>
        <w:numPr>
          <w:ilvl w:val="1"/>
          <w:numId w:val="14"/>
        </w:numPr>
        <w:rPr>
          <w:rFonts w:asciiTheme="majorHAnsi" w:hAnsiTheme="majorHAnsi" w:cstheme="majorHAnsi"/>
        </w:rPr>
      </w:pPr>
      <w:r w:rsidRPr="00A034B3">
        <w:rPr>
          <w:rFonts w:asciiTheme="majorHAnsi" w:hAnsiTheme="majorHAnsi" w:cstheme="majorHAnsi"/>
        </w:rPr>
        <w:t xml:space="preserve"> If patient is not alert, then you will need their emergency contact info to interview. </w:t>
      </w:r>
    </w:p>
    <w:p w14:paraId="1D3E5A7F" w14:textId="3977DBE0"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Initiate TB Risk Assessment (TB-4)</w:t>
      </w:r>
    </w:p>
    <w:p w14:paraId="0B1A2C7E" w14:textId="3E754B38"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 xml:space="preserve">Initiate the Patient History and Physical form (TB-13) </w:t>
      </w:r>
    </w:p>
    <w:p w14:paraId="1FF380CD" w14:textId="5ADADA63"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Assure use of appropriate PPE (i.e. nurse and patient)</w:t>
      </w:r>
    </w:p>
    <w:p w14:paraId="3764E386" w14:textId="76D3F6D1" w:rsidR="00990C67" w:rsidRPr="00A034B3" w:rsidRDefault="00990C67" w:rsidP="00990C67">
      <w:pPr>
        <w:rPr>
          <w:rFonts w:asciiTheme="majorHAnsi" w:hAnsiTheme="majorHAnsi" w:cstheme="majorHAnsi"/>
        </w:rPr>
      </w:pPr>
      <w:r w:rsidRPr="00A034B3">
        <w:rPr>
          <w:rFonts w:asciiTheme="majorHAnsi" w:hAnsiTheme="majorHAnsi" w:cstheme="majorHAnsi"/>
          <w:i/>
          <w:iCs/>
        </w:rPr>
        <w:t>Or</w:t>
      </w:r>
      <w:r w:rsidRPr="00A034B3">
        <w:rPr>
          <w:rFonts w:asciiTheme="majorHAnsi" w:hAnsiTheme="majorHAnsi" w:cstheme="majorHAnsi"/>
        </w:rPr>
        <w:t xml:space="preserve"> </w:t>
      </w:r>
    </w:p>
    <w:p w14:paraId="38F5C3E2" w14:textId="398825C5" w:rsidR="00990C67" w:rsidRPr="00A034B3" w:rsidRDefault="00990C67" w:rsidP="00990C67">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Local health department nurse communicated with the patient prior to discharge regarding initial home visit:</w:t>
      </w:r>
    </w:p>
    <w:p w14:paraId="57F7D4CB" w14:textId="77777777"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Initiate TB Risk Assessment (TB-4)</w:t>
      </w:r>
    </w:p>
    <w:p w14:paraId="59AB55B9" w14:textId="77777777"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 xml:space="preserve">Initiate the Patient History and Physical form (TB-13) </w:t>
      </w:r>
    </w:p>
    <w:p w14:paraId="0D60DC80" w14:textId="18F8F956" w:rsidR="00990C67" w:rsidRPr="00A034B3" w:rsidRDefault="00990C67" w:rsidP="00990C67">
      <w:pPr>
        <w:pStyle w:val="ListParagraph"/>
        <w:numPr>
          <w:ilvl w:val="0"/>
          <w:numId w:val="14"/>
        </w:numPr>
        <w:rPr>
          <w:rFonts w:asciiTheme="majorHAnsi" w:hAnsiTheme="majorHAnsi" w:cstheme="majorHAnsi"/>
        </w:rPr>
      </w:pPr>
      <w:r w:rsidRPr="00A034B3">
        <w:rPr>
          <w:rFonts w:asciiTheme="majorHAnsi" w:hAnsiTheme="majorHAnsi" w:cstheme="majorHAnsi"/>
        </w:rPr>
        <w:t>Assure use of appropriate PPE (i.e. nurse and patient)</w:t>
      </w:r>
    </w:p>
    <w:p w14:paraId="025C5C00" w14:textId="77777777" w:rsidR="002C46C6" w:rsidRPr="00F118B5" w:rsidRDefault="00564E61">
      <w:pPr>
        <w:pStyle w:val="Heading1"/>
        <w:rPr>
          <w:rFonts w:cstheme="majorHAnsi"/>
        </w:rPr>
      </w:pPr>
      <w:r w:rsidRPr="00F118B5">
        <w:rPr>
          <w:rFonts w:cstheme="majorHAnsi"/>
        </w:rPr>
        <w:t>2. Isolation &amp; Infection Control</w:t>
      </w:r>
    </w:p>
    <w:p w14:paraId="2C420E3E" w14:textId="633DBC83" w:rsidR="002C46C6"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Infectious status assessed prior to discharge</w:t>
      </w:r>
    </w:p>
    <w:p w14:paraId="593CFBBF" w14:textId="41A4B88D" w:rsidR="00990C67" w:rsidRPr="00A034B3" w:rsidRDefault="00990C67" w:rsidP="00990C67">
      <w:pPr>
        <w:pStyle w:val="ListParagraph"/>
        <w:numPr>
          <w:ilvl w:val="0"/>
          <w:numId w:val="15"/>
        </w:numPr>
        <w:rPr>
          <w:rFonts w:asciiTheme="majorHAnsi" w:hAnsiTheme="majorHAnsi" w:cstheme="majorHAnsi"/>
        </w:rPr>
      </w:pPr>
      <w:r w:rsidRPr="00A034B3">
        <w:rPr>
          <w:rFonts w:asciiTheme="majorHAnsi" w:hAnsiTheme="majorHAnsi" w:cstheme="majorHAnsi"/>
        </w:rPr>
        <w:t xml:space="preserve">LHD TB Clinician provided orders for ongoing isolation if applicable </w:t>
      </w:r>
    </w:p>
    <w:p w14:paraId="7D293ABC" w14:textId="67B95756" w:rsidR="002C46C6"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w:t>
      </w:r>
      <w:r w:rsidR="00990C67" w:rsidRPr="00A034B3">
        <w:rPr>
          <w:rFonts w:asciiTheme="majorHAnsi" w:hAnsiTheme="majorHAnsi" w:cstheme="majorHAnsi"/>
        </w:rPr>
        <w:t xml:space="preserve">Patient Isolating at home: </w:t>
      </w:r>
    </w:p>
    <w:p w14:paraId="575F6EA6" w14:textId="77777777" w:rsidR="00990C67" w:rsidRPr="00A034B3" w:rsidRDefault="00990C67" w:rsidP="00990C67">
      <w:pPr>
        <w:pStyle w:val="ListParagraph"/>
        <w:numPr>
          <w:ilvl w:val="0"/>
          <w:numId w:val="16"/>
        </w:numPr>
        <w:rPr>
          <w:rFonts w:asciiTheme="majorHAnsi" w:hAnsiTheme="majorHAnsi" w:cstheme="majorHAnsi"/>
        </w:rPr>
      </w:pPr>
      <w:r w:rsidRPr="00A034B3">
        <w:rPr>
          <w:rFonts w:asciiTheme="majorHAnsi" w:hAnsiTheme="majorHAnsi" w:cstheme="majorHAnsi"/>
        </w:rPr>
        <w:t xml:space="preserve">Ensure no immunocompromised persons reside in the home </w:t>
      </w:r>
    </w:p>
    <w:p w14:paraId="2366AB22" w14:textId="6A801132" w:rsidR="00990C67" w:rsidRPr="00A034B3" w:rsidRDefault="00990C67" w:rsidP="00990C67">
      <w:pPr>
        <w:pStyle w:val="ListParagraph"/>
        <w:numPr>
          <w:ilvl w:val="0"/>
          <w:numId w:val="17"/>
        </w:numPr>
        <w:rPr>
          <w:rFonts w:asciiTheme="majorHAnsi" w:hAnsiTheme="majorHAnsi" w:cstheme="majorHAnsi"/>
        </w:rPr>
      </w:pPr>
      <w:r w:rsidRPr="00A034B3">
        <w:rPr>
          <w:rFonts w:asciiTheme="majorHAnsi" w:hAnsiTheme="majorHAnsi" w:cstheme="majorHAnsi"/>
        </w:rPr>
        <w:t>Arrange alternative living accommodations if necessary for either the patient or immunocompromised residents to reduce risk of exposure</w:t>
      </w:r>
    </w:p>
    <w:p w14:paraId="2138236C" w14:textId="42C88A73" w:rsidR="00990C67"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w:t>
      </w:r>
      <w:r w:rsidR="00990C67" w:rsidRPr="00A034B3">
        <w:rPr>
          <w:rFonts w:asciiTheme="majorHAnsi" w:hAnsiTheme="majorHAnsi" w:cstheme="majorHAnsi"/>
        </w:rPr>
        <w:t xml:space="preserve">Ensure no </w:t>
      </w:r>
      <w:r w:rsidRPr="00A034B3">
        <w:rPr>
          <w:rFonts w:asciiTheme="majorHAnsi" w:hAnsiTheme="majorHAnsi" w:cstheme="majorHAnsi"/>
        </w:rPr>
        <w:t xml:space="preserve">discharge to congregate setting unless </w:t>
      </w:r>
      <w:r w:rsidR="00990C67" w:rsidRPr="00A034B3">
        <w:rPr>
          <w:rFonts w:asciiTheme="majorHAnsi" w:hAnsiTheme="majorHAnsi" w:cstheme="majorHAnsi"/>
        </w:rPr>
        <w:t>patient is deemed non-infectious by three negative sputum smear</w:t>
      </w:r>
      <w:r w:rsidR="005C1F7F" w:rsidRPr="00A034B3">
        <w:rPr>
          <w:rFonts w:asciiTheme="majorHAnsi" w:hAnsiTheme="majorHAnsi" w:cstheme="majorHAnsi"/>
        </w:rPr>
        <w:t xml:space="preserve"> results</w:t>
      </w:r>
      <w:r w:rsidR="00990C67" w:rsidRPr="00A034B3">
        <w:rPr>
          <w:rFonts w:asciiTheme="majorHAnsi" w:hAnsiTheme="majorHAnsi" w:cstheme="majorHAnsi"/>
        </w:rPr>
        <w:t xml:space="preserve"> or 2 negative PCR</w:t>
      </w:r>
      <w:r w:rsidR="005C1F7F" w:rsidRPr="00A034B3">
        <w:rPr>
          <w:rFonts w:asciiTheme="majorHAnsi" w:hAnsiTheme="majorHAnsi" w:cstheme="majorHAnsi"/>
        </w:rPr>
        <w:t xml:space="preserve"> results</w:t>
      </w:r>
      <w:r w:rsidR="00990C67" w:rsidRPr="00A034B3">
        <w:rPr>
          <w:rFonts w:asciiTheme="majorHAnsi" w:hAnsiTheme="majorHAnsi" w:cstheme="majorHAnsi"/>
        </w:rPr>
        <w:t xml:space="preserve">, collected 8-24 hours apart. </w:t>
      </w:r>
    </w:p>
    <w:p w14:paraId="127F92CC"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Isolation arrangements confirmed</w:t>
      </w:r>
    </w:p>
    <w:p w14:paraId="4304B053" w14:textId="77777777" w:rsidR="00990C67" w:rsidRPr="00A034B3" w:rsidRDefault="00990C67" w:rsidP="00990C67">
      <w:pPr>
        <w:pStyle w:val="ListParagraph"/>
        <w:numPr>
          <w:ilvl w:val="0"/>
          <w:numId w:val="18"/>
        </w:numPr>
        <w:rPr>
          <w:rFonts w:asciiTheme="majorHAnsi" w:hAnsiTheme="majorHAnsi" w:cstheme="majorHAnsi"/>
        </w:rPr>
      </w:pPr>
      <w:r w:rsidRPr="00A034B3">
        <w:rPr>
          <w:rFonts w:asciiTheme="majorHAnsi" w:hAnsiTheme="majorHAnsi" w:cstheme="majorHAnsi"/>
        </w:rPr>
        <w:t>If the patient resides in a congregate setting, arrange for separate isolation accommodations through the local health department (LHD) hotel contract to ensure effective isolation and reduce risk of transmission</w:t>
      </w:r>
    </w:p>
    <w:p w14:paraId="432F549B" w14:textId="1DAE4E75" w:rsidR="002C46C6"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Patient instructed on home isolation and masking</w:t>
      </w:r>
    </w:p>
    <w:p w14:paraId="73B114DE" w14:textId="313D56E3" w:rsidR="00990C67" w:rsidRPr="00A034B3" w:rsidRDefault="00990C67" w:rsidP="00990C67">
      <w:pPr>
        <w:pStyle w:val="ListParagraph"/>
        <w:numPr>
          <w:ilvl w:val="0"/>
          <w:numId w:val="16"/>
        </w:numPr>
        <w:rPr>
          <w:rFonts w:asciiTheme="majorHAnsi" w:hAnsiTheme="majorHAnsi" w:cstheme="majorHAnsi"/>
        </w:rPr>
      </w:pPr>
      <w:r w:rsidRPr="00A034B3">
        <w:rPr>
          <w:rFonts w:asciiTheme="majorHAnsi" w:hAnsiTheme="majorHAnsi" w:cstheme="majorHAnsi"/>
        </w:rPr>
        <w:t xml:space="preserve">Isolation Agreement signed </w:t>
      </w:r>
      <w:r w:rsidR="005C1F7F" w:rsidRPr="00A034B3">
        <w:rPr>
          <w:rFonts w:asciiTheme="majorHAnsi" w:hAnsiTheme="majorHAnsi" w:cstheme="majorHAnsi"/>
        </w:rPr>
        <w:t>(TB-8)</w:t>
      </w:r>
    </w:p>
    <w:p w14:paraId="2F137E53" w14:textId="77777777" w:rsidR="002C46C6" w:rsidRPr="00F118B5" w:rsidRDefault="00564E61">
      <w:pPr>
        <w:pStyle w:val="Heading1"/>
        <w:rPr>
          <w:rFonts w:cstheme="majorHAnsi"/>
        </w:rPr>
      </w:pPr>
      <w:r w:rsidRPr="00F118B5">
        <w:rPr>
          <w:rFonts w:cstheme="majorHAnsi"/>
        </w:rPr>
        <w:lastRenderedPageBreak/>
        <w:t>3. Medication Management</w:t>
      </w:r>
    </w:p>
    <w:p w14:paraId="19E1F71E" w14:textId="313120D3"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w:t>
      </w:r>
      <w:r w:rsidR="00994861" w:rsidRPr="00A034B3">
        <w:rPr>
          <w:rFonts w:asciiTheme="majorHAnsi" w:hAnsiTheme="majorHAnsi" w:cstheme="majorHAnsi"/>
        </w:rPr>
        <w:t>Initiation of standard conventional anti-TB medication regimen</w:t>
      </w:r>
    </w:p>
    <w:p w14:paraId="68E94767" w14:textId="072FFFE6" w:rsidR="00990C67" w:rsidRPr="00A034B3" w:rsidRDefault="00990C67" w:rsidP="00990C67">
      <w:pPr>
        <w:pStyle w:val="ListParagraph"/>
        <w:numPr>
          <w:ilvl w:val="0"/>
          <w:numId w:val="16"/>
        </w:numPr>
        <w:rPr>
          <w:rFonts w:asciiTheme="majorHAnsi" w:hAnsiTheme="majorHAnsi" w:cstheme="majorHAnsi"/>
        </w:rPr>
      </w:pPr>
      <w:r w:rsidRPr="00A034B3">
        <w:rPr>
          <w:rFonts w:asciiTheme="majorHAnsi" w:hAnsiTheme="majorHAnsi" w:cstheme="majorHAnsi"/>
        </w:rPr>
        <w:t xml:space="preserve">Ensure patient is started on the </w:t>
      </w:r>
      <w:r w:rsidR="00945776" w:rsidRPr="00A034B3">
        <w:rPr>
          <w:rFonts w:asciiTheme="majorHAnsi" w:hAnsiTheme="majorHAnsi" w:cstheme="majorHAnsi"/>
        </w:rPr>
        <w:t>standardized</w:t>
      </w:r>
      <w:r w:rsidRPr="00A034B3">
        <w:rPr>
          <w:rFonts w:asciiTheme="majorHAnsi" w:hAnsiTheme="majorHAnsi" w:cstheme="majorHAnsi"/>
        </w:rPr>
        <w:t xml:space="preserve"> TB therapy RIPE </w:t>
      </w:r>
    </w:p>
    <w:p w14:paraId="3EE78839" w14:textId="1AA74E9C" w:rsidR="00990C67" w:rsidRPr="00A034B3" w:rsidRDefault="00990C67" w:rsidP="00990C67">
      <w:pPr>
        <w:pStyle w:val="ListParagraph"/>
        <w:numPr>
          <w:ilvl w:val="0"/>
          <w:numId w:val="17"/>
        </w:numPr>
        <w:rPr>
          <w:rFonts w:asciiTheme="majorHAnsi" w:hAnsiTheme="majorHAnsi" w:cstheme="majorHAnsi"/>
        </w:rPr>
      </w:pPr>
      <w:r w:rsidRPr="00A034B3">
        <w:rPr>
          <w:rFonts w:asciiTheme="majorHAnsi" w:hAnsiTheme="majorHAnsi" w:cstheme="majorHAnsi"/>
        </w:rPr>
        <w:t>Rifampin (RIF) 600 mg</w:t>
      </w:r>
    </w:p>
    <w:p w14:paraId="68566544" w14:textId="47F13324" w:rsidR="00990C67" w:rsidRPr="00A034B3" w:rsidRDefault="00990C67" w:rsidP="00990C67">
      <w:pPr>
        <w:pStyle w:val="ListParagraph"/>
        <w:numPr>
          <w:ilvl w:val="0"/>
          <w:numId w:val="17"/>
        </w:numPr>
        <w:rPr>
          <w:rFonts w:asciiTheme="majorHAnsi" w:hAnsiTheme="majorHAnsi" w:cstheme="majorHAnsi"/>
        </w:rPr>
      </w:pPr>
      <w:r w:rsidRPr="00A034B3">
        <w:rPr>
          <w:rFonts w:asciiTheme="majorHAnsi" w:hAnsiTheme="majorHAnsi" w:cstheme="majorHAnsi"/>
        </w:rPr>
        <w:t>Isoniazid (INH) 300 mg</w:t>
      </w:r>
    </w:p>
    <w:p w14:paraId="3331AFD6" w14:textId="5F79B054" w:rsidR="00990C67" w:rsidRPr="00A034B3" w:rsidRDefault="00990C67" w:rsidP="00990C67">
      <w:pPr>
        <w:pStyle w:val="ListParagraph"/>
        <w:numPr>
          <w:ilvl w:val="0"/>
          <w:numId w:val="17"/>
        </w:numPr>
        <w:rPr>
          <w:rFonts w:asciiTheme="majorHAnsi" w:hAnsiTheme="majorHAnsi" w:cstheme="majorHAnsi"/>
        </w:rPr>
      </w:pPr>
      <w:r w:rsidRPr="00A034B3">
        <w:rPr>
          <w:rFonts w:asciiTheme="majorHAnsi" w:hAnsiTheme="majorHAnsi" w:cstheme="majorHAnsi"/>
        </w:rPr>
        <w:t>Ethambutol (EMB) weight based</w:t>
      </w:r>
    </w:p>
    <w:p w14:paraId="0CBB320E" w14:textId="0736E2BB" w:rsidR="00990C67" w:rsidRPr="00A034B3" w:rsidRDefault="00990C67" w:rsidP="00990C67">
      <w:pPr>
        <w:pStyle w:val="ListParagraph"/>
        <w:numPr>
          <w:ilvl w:val="0"/>
          <w:numId w:val="17"/>
        </w:numPr>
        <w:rPr>
          <w:rFonts w:asciiTheme="majorHAnsi" w:hAnsiTheme="majorHAnsi" w:cstheme="majorHAnsi"/>
        </w:rPr>
      </w:pPr>
      <w:r w:rsidRPr="00A034B3">
        <w:rPr>
          <w:rFonts w:asciiTheme="majorHAnsi" w:hAnsiTheme="majorHAnsi" w:cstheme="majorHAnsi"/>
        </w:rPr>
        <w:t>Pyrazinamide (PZA) weight based</w:t>
      </w:r>
    </w:p>
    <w:p w14:paraId="6F524D9A" w14:textId="2A521A08" w:rsidR="002C46C6"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Adverse effects addressed prior to discharge</w:t>
      </w:r>
    </w:p>
    <w:p w14:paraId="03384B80" w14:textId="3B299ABB" w:rsidR="00B4656B" w:rsidRPr="00A034B3" w:rsidRDefault="00B4656B">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Patient educated on medication side effects</w:t>
      </w:r>
    </w:p>
    <w:p w14:paraId="6C7B408E" w14:textId="7D3DF640" w:rsidR="002C46C6" w:rsidRPr="00A034B3" w:rsidRDefault="00564E61">
      <w:pPr>
        <w:rPr>
          <w:rFonts w:asciiTheme="majorHAnsi" w:hAnsiTheme="majorHAnsi" w:cstheme="majorHAnsi"/>
        </w:rPr>
      </w:pPr>
      <w:r w:rsidRPr="00A034B3">
        <w:rPr>
          <w:rFonts w:ascii="Segoe UI Symbol" w:hAnsi="Segoe UI Symbol" w:cs="Segoe UI Symbol"/>
        </w:rPr>
        <w:t>☐</w:t>
      </w:r>
      <w:r w:rsidR="00B4656B" w:rsidRPr="00A034B3">
        <w:rPr>
          <w:rFonts w:asciiTheme="majorHAnsi" w:hAnsiTheme="majorHAnsi" w:cstheme="majorHAnsi"/>
        </w:rPr>
        <w:t xml:space="preserve"> Medication</w:t>
      </w:r>
      <w:r w:rsidRPr="00A034B3">
        <w:rPr>
          <w:rFonts w:asciiTheme="majorHAnsi" w:hAnsiTheme="majorHAnsi" w:cstheme="majorHAnsi"/>
        </w:rPr>
        <w:t xml:space="preserve"> </w:t>
      </w:r>
      <w:r w:rsidR="00B4656B" w:rsidRPr="00A034B3">
        <w:rPr>
          <w:rFonts w:asciiTheme="majorHAnsi" w:hAnsiTheme="majorHAnsi" w:cstheme="majorHAnsi"/>
        </w:rPr>
        <w:t>s</w:t>
      </w:r>
      <w:r w:rsidRPr="00A034B3">
        <w:rPr>
          <w:rFonts w:asciiTheme="majorHAnsi" w:hAnsiTheme="majorHAnsi" w:cstheme="majorHAnsi"/>
        </w:rPr>
        <w:t>upply arranged until public health provision</w:t>
      </w:r>
    </w:p>
    <w:p w14:paraId="77F1C4EB" w14:textId="77777777" w:rsidR="002C46C6" w:rsidRPr="00F118B5" w:rsidRDefault="00564E61">
      <w:pPr>
        <w:pStyle w:val="Heading1"/>
        <w:rPr>
          <w:rFonts w:cstheme="majorHAnsi"/>
        </w:rPr>
      </w:pPr>
      <w:r w:rsidRPr="00F118B5">
        <w:rPr>
          <w:rFonts w:cstheme="majorHAnsi"/>
        </w:rPr>
        <w:t>4. Education &amp; Patient Understanding</w:t>
      </w:r>
    </w:p>
    <w:p w14:paraId="111C5C84" w14:textId="2D74B6D8"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w:t>
      </w:r>
      <w:r w:rsidR="00945776" w:rsidRPr="00A034B3">
        <w:rPr>
          <w:rFonts w:asciiTheme="majorHAnsi" w:hAnsiTheme="majorHAnsi" w:cstheme="majorHAnsi"/>
        </w:rPr>
        <w:t xml:space="preserve">TB </w:t>
      </w:r>
      <w:r w:rsidRPr="00A034B3">
        <w:rPr>
          <w:rFonts w:asciiTheme="majorHAnsi" w:hAnsiTheme="majorHAnsi" w:cstheme="majorHAnsi"/>
        </w:rPr>
        <w:t>Education provided in patient's primary language</w:t>
      </w:r>
    </w:p>
    <w:p w14:paraId="0815F239"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Patient understands diagnosis and treatment plan</w:t>
      </w:r>
    </w:p>
    <w:p w14:paraId="4CFA2602" w14:textId="42731AB1"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Patient understands</w:t>
      </w:r>
      <w:r w:rsidR="00945776" w:rsidRPr="00A034B3">
        <w:rPr>
          <w:rFonts w:asciiTheme="majorHAnsi" w:hAnsiTheme="majorHAnsi" w:cstheme="majorHAnsi"/>
        </w:rPr>
        <w:t xml:space="preserve"> estimated</w:t>
      </w:r>
      <w:r w:rsidRPr="00A034B3">
        <w:rPr>
          <w:rFonts w:asciiTheme="majorHAnsi" w:hAnsiTheme="majorHAnsi" w:cstheme="majorHAnsi"/>
        </w:rPr>
        <w:t xml:space="preserve"> length of therapy</w:t>
      </w:r>
    </w:p>
    <w:p w14:paraId="3391087F"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Patient understands importance of adherence</w:t>
      </w:r>
    </w:p>
    <w:p w14:paraId="5DFFCDF2"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DOT explained and arranged</w:t>
      </w:r>
    </w:p>
    <w:p w14:paraId="398CA6A3"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Infection control practices reviewed</w:t>
      </w:r>
    </w:p>
    <w:p w14:paraId="5C17CD6C" w14:textId="2B48AEB9" w:rsidR="00945776" w:rsidRPr="00A034B3" w:rsidRDefault="00945776" w:rsidP="00945776">
      <w:pPr>
        <w:pStyle w:val="ListParagraph"/>
        <w:numPr>
          <w:ilvl w:val="0"/>
          <w:numId w:val="19"/>
        </w:numPr>
        <w:rPr>
          <w:rFonts w:asciiTheme="majorHAnsi" w:hAnsiTheme="majorHAnsi" w:cstheme="majorHAnsi"/>
        </w:rPr>
      </w:pPr>
      <w:r w:rsidRPr="00A034B3">
        <w:rPr>
          <w:rFonts w:asciiTheme="majorHAnsi" w:hAnsiTheme="majorHAnsi" w:cstheme="majorHAnsi"/>
        </w:rPr>
        <w:t>Release of isolation criteria educated</w:t>
      </w:r>
    </w:p>
    <w:p w14:paraId="63E1A05E" w14:textId="77777777" w:rsidR="002C46C6" w:rsidRPr="00F118B5" w:rsidRDefault="00564E61">
      <w:pPr>
        <w:pStyle w:val="Heading1"/>
        <w:rPr>
          <w:rFonts w:cstheme="majorHAnsi"/>
        </w:rPr>
      </w:pPr>
      <w:r w:rsidRPr="00F118B5">
        <w:rPr>
          <w:rFonts w:cstheme="majorHAnsi"/>
        </w:rPr>
        <w:t>5. Continuity of Care &amp; Follow-Up</w:t>
      </w:r>
    </w:p>
    <w:p w14:paraId="61D2183A"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DOT coordinated with local health department</w:t>
      </w:r>
    </w:p>
    <w:p w14:paraId="7F2238CD" w14:textId="09A9C9F6" w:rsidR="00FA1585" w:rsidRPr="00A034B3" w:rsidRDefault="00FA1585" w:rsidP="00FA1585">
      <w:pPr>
        <w:pStyle w:val="ListParagraph"/>
        <w:numPr>
          <w:ilvl w:val="0"/>
          <w:numId w:val="19"/>
        </w:numPr>
        <w:rPr>
          <w:rFonts w:asciiTheme="majorHAnsi" w:hAnsiTheme="majorHAnsi" w:cstheme="majorHAnsi"/>
        </w:rPr>
      </w:pPr>
      <w:r w:rsidRPr="00A034B3">
        <w:rPr>
          <w:rFonts w:asciiTheme="majorHAnsi" w:hAnsiTheme="majorHAnsi" w:cstheme="majorHAnsi"/>
        </w:rPr>
        <w:t>Consent Form KY-DOT</w:t>
      </w:r>
      <w:r w:rsidR="00564E61" w:rsidRPr="00A034B3">
        <w:rPr>
          <w:rFonts w:asciiTheme="majorHAnsi" w:hAnsiTheme="majorHAnsi" w:cstheme="majorHAnsi"/>
        </w:rPr>
        <w:t xml:space="preserve"> (TB-15)</w:t>
      </w:r>
    </w:p>
    <w:p w14:paraId="53F8605B" w14:textId="77777777" w:rsidR="002C46C6" w:rsidRPr="00A034B3" w:rsidRDefault="00564E61">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Barriers to care assessed and addressed</w:t>
      </w:r>
    </w:p>
    <w:p w14:paraId="7A95637D"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Additional home care needs coordinated (if applicable)</w:t>
      </w:r>
    </w:p>
    <w:p w14:paraId="5016A9D8" w14:textId="4D5B2F80" w:rsidR="002C46C6" w:rsidRPr="00A034B3" w:rsidRDefault="008A012D">
      <w:pPr>
        <w:rPr>
          <w:rFonts w:asciiTheme="majorHAnsi" w:hAnsiTheme="majorHAnsi" w:cstheme="majorHAnsi"/>
        </w:rPr>
      </w:pPr>
      <w:r w:rsidRPr="00F118B5">
        <w:rPr>
          <w:rFonts w:ascii="Segoe UI Symbol" w:hAnsi="Segoe UI Symbol" w:cs="Segoe UI Symbol"/>
        </w:rPr>
        <w:t>☐</w:t>
      </w:r>
      <w:r w:rsidRPr="00A034B3">
        <w:rPr>
          <w:rFonts w:asciiTheme="majorHAnsi" w:hAnsiTheme="majorHAnsi" w:cstheme="majorHAnsi"/>
        </w:rPr>
        <w:t xml:space="preserve">  </w:t>
      </w:r>
      <w:r w:rsidRPr="00A034B3">
        <w:rPr>
          <w:rFonts w:asciiTheme="majorHAnsi" w:hAnsiTheme="majorHAnsi" w:cstheme="majorHAnsi"/>
          <w:b/>
        </w:rPr>
        <w:t xml:space="preserve">Follow-up Appointment: Patient should be seen by local health department (LHD) TB clinician ≤ 7 business days </w:t>
      </w:r>
    </w:p>
    <w:p w14:paraId="103C8CBA" w14:textId="3E3A2AC6" w:rsidR="002C46C6" w:rsidRPr="00A034B3" w:rsidRDefault="00564E61" w:rsidP="008A012D">
      <w:pPr>
        <w:rPr>
          <w:rFonts w:asciiTheme="majorHAnsi" w:hAnsiTheme="majorHAnsi" w:cstheme="majorHAnsi"/>
        </w:rPr>
      </w:pPr>
      <w:r w:rsidRPr="00A034B3">
        <w:rPr>
          <w:rFonts w:asciiTheme="majorHAnsi" w:hAnsiTheme="majorHAnsi" w:cstheme="majorHAnsi"/>
        </w:rPr>
        <w:t>Date/Time/Location: ________________________________________</w:t>
      </w:r>
    </w:p>
    <w:p w14:paraId="7DEF7E1A" w14:textId="77777777" w:rsidR="002C46C6" w:rsidRPr="00F118B5" w:rsidRDefault="00564E61">
      <w:pPr>
        <w:pStyle w:val="Heading1"/>
        <w:rPr>
          <w:rFonts w:cstheme="majorHAnsi"/>
        </w:rPr>
      </w:pPr>
      <w:r w:rsidRPr="00F118B5">
        <w:rPr>
          <w:rFonts w:cstheme="majorHAnsi"/>
        </w:rPr>
        <w:lastRenderedPageBreak/>
        <w:t>6. Patient Information &amp; Documentation</w:t>
      </w:r>
    </w:p>
    <w:p w14:paraId="67C5B709"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Verified patient address</w:t>
      </w:r>
    </w:p>
    <w:p w14:paraId="270BBD65"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Verified phone numbers</w:t>
      </w:r>
    </w:p>
    <w:p w14:paraId="086D9F77"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Verified emergency contacts</w:t>
      </w:r>
    </w:p>
    <w:p w14:paraId="708B4E8D"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Medical records shared with health department</w:t>
      </w:r>
    </w:p>
    <w:p w14:paraId="2B516B83" w14:textId="4527625D" w:rsidR="002C46C6" w:rsidRPr="00F118B5" w:rsidRDefault="00564E61">
      <w:pPr>
        <w:pStyle w:val="Heading1"/>
        <w:rPr>
          <w:rFonts w:cstheme="majorHAnsi"/>
        </w:rPr>
      </w:pPr>
      <w:r w:rsidRPr="00F118B5">
        <w:rPr>
          <w:rFonts w:cstheme="majorHAnsi"/>
        </w:rPr>
        <w:t>7. Final Discharge Readiness Check</w:t>
      </w:r>
      <w:r w:rsidR="006A090C" w:rsidRPr="00F118B5">
        <w:rPr>
          <w:rFonts w:cstheme="majorHAnsi"/>
        </w:rPr>
        <w:t xml:space="preserve"> and Reporting to State Health Department</w:t>
      </w:r>
    </w:p>
    <w:p w14:paraId="6D9656D4"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All elements completed</w:t>
      </w:r>
    </w:p>
    <w:p w14:paraId="3B8E05D7" w14:textId="77777777" w:rsidR="002C46C6" w:rsidRPr="00A034B3" w:rsidRDefault="00564E61">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Patient safe for discharge clinically and from public health perspective</w:t>
      </w:r>
    </w:p>
    <w:p w14:paraId="3B0C233F" w14:textId="77777777" w:rsidR="00F46796" w:rsidRPr="00A034B3" w:rsidRDefault="00F46796" w:rsidP="00F46796">
      <w:pPr>
        <w:rPr>
          <w:rFonts w:asciiTheme="majorHAnsi" w:hAnsiTheme="majorHAnsi" w:cstheme="majorHAnsi"/>
        </w:rPr>
      </w:pPr>
      <w:r w:rsidRPr="00A034B3">
        <w:rPr>
          <w:rFonts w:ascii="Segoe UI Symbol" w:hAnsi="Segoe UI Symbol" w:cs="Segoe UI Symbol"/>
        </w:rPr>
        <w:t>☐</w:t>
      </w:r>
      <w:r w:rsidRPr="00A034B3">
        <w:rPr>
          <w:rFonts w:asciiTheme="majorHAnsi" w:hAnsiTheme="majorHAnsi" w:cstheme="majorHAnsi"/>
        </w:rPr>
        <w:t xml:space="preserve"> Suspect or Case reported within 24 hours to the </w:t>
      </w:r>
      <w:proofErr w:type="spellStart"/>
      <w:r w:rsidRPr="00A034B3">
        <w:rPr>
          <w:rFonts w:asciiTheme="majorHAnsi" w:hAnsiTheme="majorHAnsi" w:cstheme="majorHAnsi"/>
        </w:rPr>
        <w:t>KyTBPC</w:t>
      </w:r>
      <w:proofErr w:type="spellEnd"/>
      <w:r w:rsidRPr="00A034B3">
        <w:rPr>
          <w:rFonts w:asciiTheme="majorHAnsi" w:hAnsiTheme="majorHAnsi" w:cstheme="majorHAnsi"/>
        </w:rPr>
        <w:t xml:space="preserve"> (do not wait for culture confirmation)</w:t>
      </w:r>
    </w:p>
    <w:p w14:paraId="6B5D7E66" w14:textId="77777777" w:rsidR="006A090C" w:rsidRPr="00A034B3" w:rsidRDefault="006A090C">
      <w:pPr>
        <w:rPr>
          <w:rFonts w:asciiTheme="majorHAnsi" w:hAnsiTheme="majorHAnsi" w:cstheme="majorHAnsi"/>
        </w:rPr>
      </w:pPr>
    </w:p>
    <w:p w14:paraId="5282E8A3" w14:textId="77777777" w:rsidR="002C46C6" w:rsidRPr="00A034B3" w:rsidRDefault="00564E61">
      <w:pPr>
        <w:rPr>
          <w:rFonts w:asciiTheme="majorHAnsi" w:hAnsiTheme="majorHAnsi" w:cstheme="majorHAnsi"/>
        </w:rPr>
      </w:pPr>
      <w:r w:rsidRPr="00A034B3">
        <w:rPr>
          <w:rFonts w:asciiTheme="majorHAnsi" w:hAnsiTheme="majorHAnsi" w:cstheme="majorHAnsi"/>
          <w:b/>
        </w:rPr>
        <w:t xml:space="preserve">Date Checklist Completed: </w:t>
      </w:r>
      <w:r w:rsidRPr="00A034B3">
        <w:rPr>
          <w:rFonts w:asciiTheme="majorHAnsi" w:hAnsiTheme="majorHAnsi" w:cstheme="majorHAnsi"/>
        </w:rPr>
        <w:t>________________________________________</w:t>
      </w:r>
    </w:p>
    <w:p w14:paraId="1D64CEE2" w14:textId="77777777" w:rsidR="00EA50D7" w:rsidRPr="00A034B3" w:rsidRDefault="00EA50D7">
      <w:pPr>
        <w:rPr>
          <w:rFonts w:asciiTheme="majorHAnsi" w:hAnsiTheme="majorHAnsi" w:cstheme="majorHAnsi"/>
        </w:rPr>
      </w:pPr>
    </w:p>
    <w:p w14:paraId="1739C5A8" w14:textId="77777777" w:rsidR="00EA50D7" w:rsidRPr="00A034B3" w:rsidRDefault="00EA50D7">
      <w:pPr>
        <w:rPr>
          <w:rFonts w:asciiTheme="majorHAnsi" w:hAnsiTheme="majorHAnsi" w:cstheme="majorHAnsi"/>
        </w:rPr>
      </w:pPr>
    </w:p>
    <w:p w14:paraId="750378FD" w14:textId="77777777" w:rsidR="00EA50D7" w:rsidRPr="00A034B3" w:rsidRDefault="00EA50D7">
      <w:pPr>
        <w:rPr>
          <w:rFonts w:asciiTheme="majorHAnsi" w:hAnsiTheme="majorHAnsi" w:cstheme="majorHAnsi"/>
        </w:rPr>
      </w:pPr>
    </w:p>
    <w:p w14:paraId="03F93490" w14:textId="77777777" w:rsidR="00EA50D7" w:rsidRPr="00A034B3" w:rsidRDefault="00EA50D7">
      <w:pPr>
        <w:rPr>
          <w:rFonts w:asciiTheme="majorHAnsi" w:hAnsiTheme="majorHAnsi" w:cstheme="majorHAnsi"/>
        </w:rPr>
      </w:pPr>
    </w:p>
    <w:p w14:paraId="732856B3" w14:textId="77777777" w:rsidR="00EA50D7" w:rsidRPr="00A034B3" w:rsidRDefault="00EA50D7">
      <w:pPr>
        <w:rPr>
          <w:rFonts w:asciiTheme="majorHAnsi" w:hAnsiTheme="majorHAnsi" w:cstheme="majorHAnsi"/>
        </w:rPr>
      </w:pPr>
    </w:p>
    <w:p w14:paraId="3B4E5588" w14:textId="77777777" w:rsidR="00EA50D7" w:rsidRPr="00A034B3" w:rsidRDefault="00EA50D7">
      <w:pPr>
        <w:rPr>
          <w:rFonts w:asciiTheme="majorHAnsi" w:hAnsiTheme="majorHAnsi" w:cstheme="majorHAnsi"/>
        </w:rPr>
      </w:pPr>
    </w:p>
    <w:p w14:paraId="35B6685A" w14:textId="77777777" w:rsidR="00EA50D7" w:rsidRPr="00A034B3" w:rsidRDefault="00EA50D7">
      <w:pPr>
        <w:rPr>
          <w:rFonts w:asciiTheme="majorHAnsi" w:hAnsiTheme="majorHAnsi" w:cstheme="majorHAnsi"/>
        </w:rPr>
      </w:pPr>
    </w:p>
    <w:p w14:paraId="4A7F0A90" w14:textId="77777777" w:rsidR="00EA50D7" w:rsidRPr="00A034B3" w:rsidRDefault="00EA50D7">
      <w:pPr>
        <w:rPr>
          <w:rFonts w:asciiTheme="majorHAnsi" w:hAnsiTheme="majorHAnsi" w:cstheme="majorHAnsi"/>
        </w:rPr>
      </w:pPr>
    </w:p>
    <w:p w14:paraId="0DB0E4B0" w14:textId="77777777" w:rsidR="00EA50D7" w:rsidRPr="00A034B3" w:rsidRDefault="00EA50D7">
      <w:pPr>
        <w:rPr>
          <w:rFonts w:asciiTheme="majorHAnsi" w:hAnsiTheme="majorHAnsi" w:cstheme="majorHAnsi"/>
        </w:rPr>
      </w:pPr>
    </w:p>
    <w:p w14:paraId="422EBFF9" w14:textId="25971B09" w:rsidR="00EA50D7" w:rsidRPr="00A034B3" w:rsidRDefault="00EA50D7" w:rsidP="00EA50D7">
      <w:pPr>
        <w:pStyle w:val="Footer"/>
        <w:rPr>
          <w:rFonts w:asciiTheme="majorHAnsi" w:hAnsiTheme="majorHAnsi" w:cstheme="majorHAnsi"/>
          <w:i/>
          <w:iCs/>
          <w:sz w:val="24"/>
          <w:szCs w:val="24"/>
        </w:rPr>
      </w:pPr>
      <w:r w:rsidRPr="00A034B3">
        <w:rPr>
          <w:rFonts w:asciiTheme="majorHAnsi" w:hAnsiTheme="majorHAnsi" w:cstheme="majorHAnsi"/>
          <w:i/>
          <w:iCs/>
          <w:sz w:val="24"/>
          <w:szCs w:val="24"/>
        </w:rPr>
        <w:t xml:space="preserve">Sources: Michigan Department of Health and Human Services, Discharge Checklist Updated: 03/2016. </w:t>
      </w:r>
      <w:hyperlink r:id="rId9" w:history="1">
        <w:r w:rsidRPr="00A034B3">
          <w:rPr>
            <w:rStyle w:val="Hyperlink"/>
            <w:rFonts w:asciiTheme="majorHAnsi" w:hAnsiTheme="majorHAnsi" w:cstheme="majorHAnsi"/>
            <w:i/>
            <w:iCs/>
            <w:sz w:val="24"/>
            <w:szCs w:val="24"/>
          </w:rPr>
          <w:t>https://www.michigan.gov</w:t>
        </w:r>
      </w:hyperlink>
      <w:r w:rsidRPr="00A034B3">
        <w:rPr>
          <w:rFonts w:asciiTheme="majorHAnsi" w:hAnsiTheme="majorHAnsi" w:cstheme="majorHAnsi"/>
          <w:i/>
          <w:iCs/>
          <w:sz w:val="24"/>
          <w:szCs w:val="24"/>
        </w:rPr>
        <w:t xml:space="preserve"> </w:t>
      </w:r>
    </w:p>
    <w:p w14:paraId="3763AF18" w14:textId="77777777" w:rsidR="00EA50D7" w:rsidRPr="00A034B3" w:rsidRDefault="00EA50D7" w:rsidP="00EA50D7">
      <w:pPr>
        <w:pStyle w:val="Footer"/>
        <w:rPr>
          <w:rFonts w:asciiTheme="majorHAnsi" w:hAnsiTheme="majorHAnsi" w:cstheme="majorHAnsi"/>
          <w:i/>
          <w:iCs/>
          <w:sz w:val="24"/>
          <w:szCs w:val="24"/>
        </w:rPr>
      </w:pPr>
    </w:p>
    <w:p w14:paraId="040F7833" w14:textId="6082EA9B" w:rsidR="00EA50D7" w:rsidRPr="00A034B3" w:rsidRDefault="00EA50D7" w:rsidP="00EA50D7">
      <w:pPr>
        <w:pStyle w:val="Footer"/>
        <w:rPr>
          <w:rFonts w:asciiTheme="majorHAnsi" w:hAnsiTheme="majorHAnsi" w:cstheme="majorHAnsi"/>
          <w:i/>
          <w:iCs/>
          <w:sz w:val="24"/>
          <w:szCs w:val="24"/>
        </w:rPr>
      </w:pPr>
      <w:r w:rsidRPr="00A034B3">
        <w:rPr>
          <w:rFonts w:asciiTheme="majorHAnsi" w:hAnsiTheme="majorHAnsi" w:cstheme="majorHAnsi"/>
          <w:i/>
          <w:iCs/>
          <w:sz w:val="24"/>
          <w:szCs w:val="24"/>
        </w:rPr>
        <w:t>Minnesota Department of Health, Tuberculosis Hospital Discharge Checklist</w:t>
      </w:r>
    </w:p>
    <w:p w14:paraId="59C4F288" w14:textId="0EAE0444" w:rsidR="00EA50D7" w:rsidRPr="00A034B3" w:rsidRDefault="00EA50D7" w:rsidP="00EA50D7">
      <w:pPr>
        <w:pStyle w:val="Footer"/>
        <w:rPr>
          <w:rFonts w:asciiTheme="majorHAnsi" w:hAnsiTheme="majorHAnsi" w:cstheme="majorHAnsi"/>
          <w:i/>
          <w:iCs/>
          <w:sz w:val="24"/>
          <w:szCs w:val="24"/>
        </w:rPr>
      </w:pPr>
      <w:hyperlink r:id="rId10" w:history="1">
        <w:r w:rsidRPr="00A034B3">
          <w:rPr>
            <w:rStyle w:val="Hyperlink"/>
            <w:rFonts w:asciiTheme="majorHAnsi" w:hAnsiTheme="majorHAnsi" w:cstheme="majorHAnsi"/>
            <w:i/>
            <w:iCs/>
            <w:sz w:val="24"/>
            <w:szCs w:val="24"/>
          </w:rPr>
          <w:t>Tuberculosis (TB) - MN Dept. of Health</w:t>
        </w:r>
      </w:hyperlink>
    </w:p>
    <w:p w14:paraId="22CD89DE" w14:textId="77777777" w:rsidR="00EA50D7" w:rsidRPr="00A034B3" w:rsidRDefault="00EA50D7">
      <w:pPr>
        <w:rPr>
          <w:rFonts w:asciiTheme="majorHAnsi" w:hAnsiTheme="majorHAnsi" w:cstheme="majorHAnsi"/>
        </w:rPr>
      </w:pPr>
    </w:p>
    <w:sectPr w:rsidR="00EA50D7" w:rsidRPr="00A034B3"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6291" w14:textId="77777777" w:rsidR="00EE21D7" w:rsidRDefault="00EE21D7" w:rsidP="009046F6">
      <w:pPr>
        <w:spacing w:after="0" w:line="240" w:lineRule="auto"/>
      </w:pPr>
      <w:r>
        <w:separator/>
      </w:r>
    </w:p>
  </w:endnote>
  <w:endnote w:type="continuationSeparator" w:id="0">
    <w:p w14:paraId="6A5A0301" w14:textId="77777777" w:rsidR="00EE21D7" w:rsidRDefault="00EE21D7" w:rsidP="0090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D048" w14:textId="008D3202" w:rsidR="00EA50D7" w:rsidRDefault="00EA50D7" w:rsidP="00EA50D7">
    <w:pPr>
      <w:pStyle w:val="Footer"/>
      <w:ind w:left="5760"/>
    </w:pPr>
    <w:r>
      <w:t xml:space="preserve">                 TB-33 (7/2026)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DFCD" w14:textId="77777777" w:rsidR="00EE21D7" w:rsidRDefault="00EE21D7" w:rsidP="009046F6">
      <w:pPr>
        <w:spacing w:after="0" w:line="240" w:lineRule="auto"/>
      </w:pPr>
      <w:r>
        <w:separator/>
      </w:r>
    </w:p>
  </w:footnote>
  <w:footnote w:type="continuationSeparator" w:id="0">
    <w:p w14:paraId="3FE7C45B" w14:textId="77777777" w:rsidR="00EE21D7" w:rsidRDefault="00EE21D7" w:rsidP="0090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54597B"/>
    <w:multiLevelType w:val="hybridMultilevel"/>
    <w:tmpl w:val="E31C3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86295"/>
    <w:multiLevelType w:val="hybridMultilevel"/>
    <w:tmpl w:val="7F928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3722D"/>
    <w:multiLevelType w:val="hybridMultilevel"/>
    <w:tmpl w:val="B1DCF4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44026"/>
    <w:multiLevelType w:val="hybridMultilevel"/>
    <w:tmpl w:val="78E8C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72A02"/>
    <w:multiLevelType w:val="hybridMultilevel"/>
    <w:tmpl w:val="84423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86187"/>
    <w:multiLevelType w:val="hybridMultilevel"/>
    <w:tmpl w:val="1AE642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1365A4"/>
    <w:multiLevelType w:val="hybridMultilevel"/>
    <w:tmpl w:val="7ADE01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F7E85"/>
    <w:multiLevelType w:val="hybridMultilevel"/>
    <w:tmpl w:val="6F8CD4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DD0EEB"/>
    <w:multiLevelType w:val="hybridMultilevel"/>
    <w:tmpl w:val="5F5E2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E67C0"/>
    <w:multiLevelType w:val="hybridMultilevel"/>
    <w:tmpl w:val="DE7A7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37016">
    <w:abstractNumId w:val="8"/>
  </w:num>
  <w:num w:numId="2" w16cid:durableId="1505974320">
    <w:abstractNumId w:val="6"/>
  </w:num>
  <w:num w:numId="3" w16cid:durableId="136266889">
    <w:abstractNumId w:val="5"/>
  </w:num>
  <w:num w:numId="4" w16cid:durableId="1700474247">
    <w:abstractNumId w:val="4"/>
  </w:num>
  <w:num w:numId="5" w16cid:durableId="1529220818">
    <w:abstractNumId w:val="7"/>
  </w:num>
  <w:num w:numId="6" w16cid:durableId="1210148998">
    <w:abstractNumId w:val="3"/>
  </w:num>
  <w:num w:numId="7" w16cid:durableId="1101609365">
    <w:abstractNumId w:val="2"/>
  </w:num>
  <w:num w:numId="8" w16cid:durableId="2028748001">
    <w:abstractNumId w:val="1"/>
  </w:num>
  <w:num w:numId="9" w16cid:durableId="258803002">
    <w:abstractNumId w:val="0"/>
  </w:num>
  <w:num w:numId="10" w16cid:durableId="1155494368">
    <w:abstractNumId w:val="17"/>
  </w:num>
  <w:num w:numId="11" w16cid:durableId="1949198790">
    <w:abstractNumId w:val="11"/>
  </w:num>
  <w:num w:numId="12" w16cid:durableId="91320999">
    <w:abstractNumId w:val="12"/>
  </w:num>
  <w:num w:numId="13" w16cid:durableId="582370883">
    <w:abstractNumId w:val="14"/>
  </w:num>
  <w:num w:numId="14" w16cid:durableId="706369450">
    <w:abstractNumId w:val="15"/>
  </w:num>
  <w:num w:numId="15" w16cid:durableId="1368675425">
    <w:abstractNumId w:val="13"/>
  </w:num>
  <w:num w:numId="16" w16cid:durableId="1392577223">
    <w:abstractNumId w:val="9"/>
  </w:num>
  <w:num w:numId="17" w16cid:durableId="837115132">
    <w:abstractNumId w:val="16"/>
  </w:num>
  <w:num w:numId="18" w16cid:durableId="1577470804">
    <w:abstractNumId w:val="10"/>
  </w:num>
  <w:num w:numId="19" w16cid:durableId="17135314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236"/>
    <w:rsid w:val="0006063C"/>
    <w:rsid w:val="000B47B1"/>
    <w:rsid w:val="0015074B"/>
    <w:rsid w:val="001D0921"/>
    <w:rsid w:val="00231885"/>
    <w:rsid w:val="0029639D"/>
    <w:rsid w:val="002C46C6"/>
    <w:rsid w:val="002E4A37"/>
    <w:rsid w:val="00326F90"/>
    <w:rsid w:val="0036401B"/>
    <w:rsid w:val="00443A3E"/>
    <w:rsid w:val="004F0791"/>
    <w:rsid w:val="00526B7B"/>
    <w:rsid w:val="00551763"/>
    <w:rsid w:val="00563171"/>
    <w:rsid w:val="00564E61"/>
    <w:rsid w:val="005C1F7F"/>
    <w:rsid w:val="005D62C3"/>
    <w:rsid w:val="006A090C"/>
    <w:rsid w:val="00742F17"/>
    <w:rsid w:val="008A012D"/>
    <w:rsid w:val="009046F6"/>
    <w:rsid w:val="00945776"/>
    <w:rsid w:val="0098014F"/>
    <w:rsid w:val="0099040A"/>
    <w:rsid w:val="00990C67"/>
    <w:rsid w:val="00994861"/>
    <w:rsid w:val="00A034B3"/>
    <w:rsid w:val="00AA1D8D"/>
    <w:rsid w:val="00B4656B"/>
    <w:rsid w:val="00B47730"/>
    <w:rsid w:val="00B50ECF"/>
    <w:rsid w:val="00B95E8E"/>
    <w:rsid w:val="00C82C37"/>
    <w:rsid w:val="00CB0664"/>
    <w:rsid w:val="00E52F41"/>
    <w:rsid w:val="00E61B1F"/>
    <w:rsid w:val="00E627CE"/>
    <w:rsid w:val="00E74DA7"/>
    <w:rsid w:val="00EA50D7"/>
    <w:rsid w:val="00EE21D7"/>
    <w:rsid w:val="00F118B5"/>
    <w:rsid w:val="00F46796"/>
    <w:rsid w:val="00FA1585"/>
    <w:rsid w:val="00FC693F"/>
    <w:rsid w:val="00FE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2689BE"/>
  <w14:defaultImageDpi w14:val="300"/>
  <w15:docId w15:val="{05872430-8881-4153-9069-85F0FC77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A50D7"/>
    <w:rPr>
      <w:rFonts w:ascii="Times New Roman" w:hAnsi="Times New Roman" w:cs="Times New Roman"/>
      <w:sz w:val="24"/>
      <w:szCs w:val="24"/>
    </w:rPr>
  </w:style>
  <w:style w:type="character" w:styleId="Hyperlink">
    <w:name w:val="Hyperlink"/>
    <w:basedOn w:val="DefaultParagraphFont"/>
    <w:uiPriority w:val="99"/>
    <w:unhideWhenUsed/>
    <w:rsid w:val="00EA50D7"/>
    <w:rPr>
      <w:color w:val="0000FF" w:themeColor="hyperlink"/>
      <w:u w:val="single"/>
    </w:rPr>
  </w:style>
  <w:style w:type="character" w:styleId="UnresolvedMention">
    <w:name w:val="Unresolved Mention"/>
    <w:basedOn w:val="DefaultParagraphFont"/>
    <w:uiPriority w:val="99"/>
    <w:semiHidden/>
    <w:unhideWhenUsed/>
    <w:rsid w:val="00EA50D7"/>
    <w:rPr>
      <w:color w:val="605E5C"/>
      <w:shd w:val="clear" w:color="auto" w:fill="E1DFDD"/>
    </w:rPr>
  </w:style>
  <w:style w:type="character" w:styleId="CommentReference">
    <w:name w:val="annotation reference"/>
    <w:basedOn w:val="DefaultParagraphFont"/>
    <w:uiPriority w:val="99"/>
    <w:semiHidden/>
    <w:unhideWhenUsed/>
    <w:rsid w:val="005C1F7F"/>
    <w:rPr>
      <w:sz w:val="16"/>
      <w:szCs w:val="16"/>
    </w:rPr>
  </w:style>
  <w:style w:type="paragraph" w:styleId="CommentText">
    <w:name w:val="annotation text"/>
    <w:basedOn w:val="Normal"/>
    <w:link w:val="CommentTextChar"/>
    <w:uiPriority w:val="99"/>
    <w:unhideWhenUsed/>
    <w:rsid w:val="005C1F7F"/>
    <w:pPr>
      <w:spacing w:line="240" w:lineRule="auto"/>
    </w:pPr>
    <w:rPr>
      <w:sz w:val="20"/>
      <w:szCs w:val="20"/>
    </w:rPr>
  </w:style>
  <w:style w:type="character" w:customStyle="1" w:styleId="CommentTextChar">
    <w:name w:val="Comment Text Char"/>
    <w:basedOn w:val="DefaultParagraphFont"/>
    <w:link w:val="CommentText"/>
    <w:uiPriority w:val="99"/>
    <w:rsid w:val="005C1F7F"/>
    <w:rPr>
      <w:sz w:val="20"/>
      <w:szCs w:val="20"/>
    </w:rPr>
  </w:style>
  <w:style w:type="paragraph" w:styleId="CommentSubject">
    <w:name w:val="annotation subject"/>
    <w:basedOn w:val="CommentText"/>
    <w:next w:val="CommentText"/>
    <w:link w:val="CommentSubjectChar"/>
    <w:uiPriority w:val="99"/>
    <w:semiHidden/>
    <w:unhideWhenUsed/>
    <w:rsid w:val="005C1F7F"/>
    <w:rPr>
      <w:b/>
      <w:bCs/>
    </w:rPr>
  </w:style>
  <w:style w:type="character" w:customStyle="1" w:styleId="CommentSubjectChar">
    <w:name w:val="Comment Subject Char"/>
    <w:basedOn w:val="CommentTextChar"/>
    <w:link w:val="CommentSubject"/>
    <w:uiPriority w:val="99"/>
    <w:semiHidden/>
    <w:rsid w:val="005C1F7F"/>
    <w:rPr>
      <w:b/>
      <w:bCs/>
      <w:sz w:val="20"/>
      <w:szCs w:val="20"/>
    </w:rPr>
  </w:style>
  <w:style w:type="paragraph" w:styleId="Revision">
    <w:name w:val="Revision"/>
    <w:hidden/>
    <w:uiPriority w:val="99"/>
    <w:semiHidden/>
    <w:rsid w:val="00F11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319">
      <w:bodyDiv w:val="1"/>
      <w:marLeft w:val="0"/>
      <w:marRight w:val="0"/>
      <w:marTop w:val="0"/>
      <w:marBottom w:val="0"/>
      <w:divBdr>
        <w:top w:val="none" w:sz="0" w:space="0" w:color="auto"/>
        <w:left w:val="none" w:sz="0" w:space="0" w:color="auto"/>
        <w:bottom w:val="none" w:sz="0" w:space="0" w:color="auto"/>
        <w:right w:val="none" w:sz="0" w:space="0" w:color="auto"/>
      </w:divBdr>
    </w:div>
    <w:div w:id="1531839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law/kar/titles/902/00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health.state.mn.us/diseases/tb/index.html" TargetMode="External"/><Relationship Id="rId4" Type="http://schemas.openxmlformats.org/officeDocument/2006/relationships/settings" Target="settings.xml"/><Relationship Id="rId9" Type="http://schemas.openxmlformats.org/officeDocument/2006/relationships/hyperlink" Target="https://www.michigan.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A3744AC592B640B8707D73CB378076" ma:contentTypeVersion="6" ma:contentTypeDescription="Create a new document." ma:contentTypeScope="" ma:versionID="08b1c5649a9675a27885690bb6ac4a7a">
  <xsd:schema xmlns:xsd="http://www.w3.org/2001/XMLSchema" xmlns:xs="http://www.w3.org/2001/XMLSchema" xmlns:p="http://schemas.microsoft.com/office/2006/metadata/properties" xmlns:ns1="http://schemas.microsoft.com/sharepoint/v3" xmlns:ns2="4466f2a3-f624-42fa-becf-73c6367aacdc" xmlns:ns3="e82f08f1-0813-4298-bae3-41851726d38f" xmlns:ns4="9d98fa39-7fbd-4685-a488-797cac822720" targetNamespace="http://schemas.microsoft.com/office/2006/metadata/properties" ma:root="true" ma:fieldsID="3350081ae68aa4dff1c76f22344fdd5b" ns1:_="" ns2:_="" ns3:_="" ns4:_="">
    <xsd:import namespace="http://schemas.microsoft.com/sharepoint/v3"/>
    <xsd:import namespace="4466f2a3-f624-42fa-becf-73c6367aacdc"/>
    <xsd:import namespace="e82f08f1-0813-4298-bae3-41851726d38f"/>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olDphHcabFormTypes" minOccurs="0"/>
                <xsd:element ref="ns3:chfsDpqiHcabAgenc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6f2a3-f624-42fa-becf-73c6367aacdc" elementFormDefault="qualified">
    <xsd:import namespace="http://schemas.microsoft.com/office/2006/documentManagement/types"/>
    <xsd:import namespace="http://schemas.microsoft.com/office/infopath/2007/PartnerControls"/>
    <xsd:element name="solDphHcabFormTypes" ma:index="10" nillable="true" ma:displayName="FormTypes" ma:format="Dropdown" ma:internalName="solDphHcabFormTypes">
      <xsd:simpleType>
        <xsd:restriction base="dms:Choice">
          <xsd:enumeration value="Cancer"/>
          <xsd:enumeration value="Diabetes"/>
          <xsd:enumeration value="Domestic Violence"/>
          <xsd:enumeration value="Family Planning"/>
          <xsd:enumeration value="Sterilization"/>
          <xsd:enumeration value="Growth Charts"/>
          <xsd:enumeration value="Health Risk Assessments"/>
          <xsd:enumeration value="Hepatitis C"/>
          <xsd:enumeration value="HIV"/>
          <xsd:enumeration value="Immunization"/>
          <xsd:enumeration value="Lab"/>
          <xsd:enumeration value="Lead"/>
          <xsd:enumeration value="Oral Health"/>
          <xsd:enumeration value="Perinatal Hepatitis B"/>
          <xsd:enumeration value="Prenatal"/>
          <xsd:enumeration value="Respiratory Plans"/>
          <xsd:enumeration value="Reportable Diseases"/>
          <xsd:enumeration value="Sexually Transmitted Diseases"/>
          <xsd:enumeration value="Tobacco"/>
          <xsd:enumeration value="Tuberculosis"/>
          <xsd:enumeration value="Teaching Sheets General"/>
          <xsd:enumeration value="Domestic Violence Teaching Sheets"/>
          <xsd:enumeration value="Family Planning Teaching Sheets"/>
          <xsd:enumeration value="Sterilization Teaching Sheets"/>
          <xsd:enumeration value="Hepatitis C Teaching Sheets"/>
          <xsd:enumeration value="HIV Teaching Sheets"/>
          <xsd:enumeration value="Lead Teaching Sheets"/>
          <xsd:enumeration value="Oral Health Teaching Sheets"/>
          <xsd:enumeration value="Points to Remember Teaching Sheets"/>
          <xsd:enumeration value="Prenatal Teaching Sheets"/>
          <xsd:enumeration value="Tobacco Teaching Sheets"/>
          <xsd:enumeration value="Quality Assurance Tools Teaching Sheets"/>
          <xsd:enumeration value="Pediatrics Teaching Sheets"/>
          <xsd:enumeration value="School Health Teaching Sheets"/>
          <xsd:enumeration value="Tuberculosis Teaching Sheets"/>
          <xsd:enumeration value="Women's Health Teaching Sheets"/>
        </xsd:restriction>
      </xsd:simpleType>
    </xsd:element>
  </xsd:schema>
  <xsd:schema xmlns:xsd="http://www.w3.org/2001/XMLSchema" xmlns:xs="http://www.w3.org/2001/XMLSchema" xmlns:dms="http://schemas.microsoft.com/office/2006/documentManagement/types" xmlns:pc="http://schemas.microsoft.com/office/infopath/2007/PartnerControls" targetNamespace="e82f08f1-0813-4298-bae3-41851726d38f" elementFormDefault="qualified">
    <xsd:import namespace="http://schemas.microsoft.com/office/2006/documentManagement/types"/>
    <xsd:import namespace="http://schemas.microsoft.com/office/infopath/2007/PartnerControls"/>
    <xsd:element name="chfsDpqiHcabAgency" ma:index="11" nillable="true" ma:displayName="Agency" ma:format="Dropdown" ma:internalName="chfsDpqiHcabAgency">
      <xsd:simpleType>
        <xsd:restriction base="dms:Choice">
          <xsd:enumeration value="HCAB"/>
          <xsd:enumeration value="Nursing Office"/>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fsDpqiHcabAgency xmlns="e82f08f1-0813-4298-bae3-41851726d38f" xsi:nil="true"/>
    <solDphHcabFormTypes xmlns="4466f2a3-f624-42fa-becf-73c6367aacd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A671D09-E4B4-4E0E-A5A2-1C73F43A62C5}"/>
</file>

<file path=customXml/itemProps3.xml><?xml version="1.0" encoding="utf-8"?>
<ds:datastoreItem xmlns:ds="http://schemas.openxmlformats.org/officeDocument/2006/customXml" ds:itemID="{3D3FB911-935F-4327-93BA-F5BCB92B5C51}"/>
</file>

<file path=customXml/itemProps4.xml><?xml version="1.0" encoding="utf-8"?>
<ds:datastoreItem xmlns:ds="http://schemas.openxmlformats.org/officeDocument/2006/customXml" ds:itemID="{4C5D60A0-31BE-4E37-9111-93B1CD2839CC}"/>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Willard, Ruth C (CHFS DPH)</cp:lastModifiedBy>
  <cp:revision>2</cp:revision>
  <dcterms:created xsi:type="dcterms:W3CDTF">2026-05-29T15:21:00Z</dcterms:created>
  <dcterms:modified xsi:type="dcterms:W3CDTF">2026-05-29T15:21:00Z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0x0101004AA3744AC592B640B8707D73CB378076</vt:lpwstr>
  </property>
</Properties>
</file>