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C0" w:rsidRPr="004343B0" w:rsidRDefault="00426558" w:rsidP="00426558">
      <w:pPr>
        <w:jc w:val="center"/>
        <w:rPr>
          <w:b/>
          <w:color w:val="EEECE1" w:themeColor="background2"/>
          <w:sz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26558">
        <w:rPr>
          <w:b/>
          <w:sz w:val="24"/>
        </w:rPr>
        <w:t xml:space="preserve">Onboarding </w:t>
      </w:r>
      <w:r w:rsidR="004A1C7E">
        <w:rPr>
          <w:b/>
          <w:sz w:val="24"/>
        </w:rPr>
        <w:t>Planning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2670"/>
        <w:gridCol w:w="2173"/>
        <w:gridCol w:w="2343"/>
        <w:gridCol w:w="2520"/>
        <w:gridCol w:w="3059"/>
        <w:gridCol w:w="2298"/>
        <w:gridCol w:w="1198"/>
        <w:gridCol w:w="1101"/>
      </w:tblGrid>
      <w:tr w:rsidR="004343B0" w:rsidRPr="00EB19AB" w:rsidTr="004343B0">
        <w:trPr>
          <w:trHeight w:val="300"/>
          <w:tblHeader/>
        </w:trPr>
        <w:tc>
          <w:tcPr>
            <w:tcW w:w="0" w:type="auto"/>
            <w:vMerge w:val="restart"/>
            <w:vAlign w:val="center"/>
          </w:tcPr>
          <w:p w:rsidR="004343B0" w:rsidRPr="00EB19AB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</w:t>
            </w:r>
            <w:r w:rsidR="003530E6">
              <w:rPr>
                <w:b/>
                <w:sz w:val="20"/>
                <w:szCs w:val="20"/>
              </w:rPr>
              <w:t>/WHEN</w:t>
            </w:r>
          </w:p>
        </w:tc>
        <w:tc>
          <w:tcPr>
            <w:tcW w:w="7172" w:type="dxa"/>
            <w:gridSpan w:val="3"/>
            <w:shd w:val="clear" w:color="auto" w:fill="D9D9D9" w:themeFill="background1" w:themeFillShade="D9"/>
            <w:vAlign w:val="center"/>
          </w:tcPr>
          <w:p w:rsidR="004343B0" w:rsidRPr="00EB19AB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EB19AB">
              <w:rPr>
                <w:b/>
                <w:sz w:val="20"/>
                <w:szCs w:val="20"/>
              </w:rPr>
              <w:t>Prepare</w:t>
            </w:r>
          </w:p>
        </w:tc>
        <w:tc>
          <w:tcPr>
            <w:tcW w:w="5579" w:type="dxa"/>
            <w:gridSpan w:val="2"/>
            <w:shd w:val="clear" w:color="auto" w:fill="D9D9D9" w:themeFill="background1" w:themeFillShade="D9"/>
            <w:vAlign w:val="center"/>
          </w:tcPr>
          <w:p w:rsidR="004343B0" w:rsidRPr="00EB19AB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EB19AB">
              <w:rPr>
                <w:b/>
                <w:sz w:val="20"/>
                <w:szCs w:val="20"/>
              </w:rPr>
              <w:t>Welcome/Orient</w:t>
            </w:r>
          </w:p>
        </w:tc>
        <w:tc>
          <w:tcPr>
            <w:tcW w:w="4789" w:type="dxa"/>
            <w:gridSpan w:val="3"/>
            <w:shd w:val="clear" w:color="auto" w:fill="D9D9D9" w:themeFill="background1" w:themeFillShade="D9"/>
            <w:vAlign w:val="center"/>
          </w:tcPr>
          <w:p w:rsidR="004343B0" w:rsidRPr="00EB19AB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EB19AB">
              <w:rPr>
                <w:b/>
                <w:sz w:val="20"/>
                <w:szCs w:val="20"/>
              </w:rPr>
              <w:t>Connect/Integrate</w:t>
            </w:r>
          </w:p>
        </w:tc>
      </w:tr>
      <w:tr w:rsidR="004343B0" w:rsidRPr="00426558" w:rsidTr="004343B0">
        <w:trPr>
          <w:trHeight w:val="300"/>
          <w:tblHeader/>
        </w:trPr>
        <w:tc>
          <w:tcPr>
            <w:tcW w:w="0" w:type="auto"/>
            <w:vMerge/>
            <w:vAlign w:val="center"/>
            <w:hideMark/>
          </w:tcPr>
          <w:p w:rsidR="004343B0" w:rsidRPr="00426558" w:rsidRDefault="004343B0" w:rsidP="004265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F2F2F2" w:themeFill="background1" w:themeFillShade="F2"/>
            <w:vAlign w:val="center"/>
            <w:hideMark/>
          </w:tcPr>
          <w:p w:rsidR="004343B0" w:rsidRPr="00426558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426558">
              <w:rPr>
                <w:b/>
                <w:sz w:val="20"/>
                <w:szCs w:val="20"/>
              </w:rPr>
              <w:t>Upon hire decision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  <w:hideMark/>
          </w:tcPr>
          <w:p w:rsidR="004343B0" w:rsidRPr="00426558" w:rsidRDefault="002630C7" w:rsidP="00426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 set up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  <w:hideMark/>
          </w:tcPr>
          <w:p w:rsidR="004343B0" w:rsidRPr="00426558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426558">
              <w:rPr>
                <w:b/>
                <w:sz w:val="20"/>
                <w:szCs w:val="20"/>
              </w:rPr>
              <w:t>Close to start date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  <w:hideMark/>
          </w:tcPr>
          <w:p w:rsidR="004343B0" w:rsidRPr="00426558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426558">
              <w:rPr>
                <w:b/>
                <w:sz w:val="20"/>
                <w:szCs w:val="20"/>
              </w:rPr>
              <w:t>First day(s)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  <w:hideMark/>
          </w:tcPr>
          <w:p w:rsidR="004343B0" w:rsidRPr="00426558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426558">
              <w:rPr>
                <w:b/>
                <w:sz w:val="20"/>
                <w:szCs w:val="20"/>
              </w:rPr>
              <w:t>First week(s)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  <w:hideMark/>
          </w:tcPr>
          <w:p w:rsidR="004343B0" w:rsidRPr="00426558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426558">
              <w:rPr>
                <w:b/>
                <w:sz w:val="20"/>
                <w:szCs w:val="20"/>
              </w:rPr>
              <w:t>First month(s)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4343B0" w:rsidRPr="00426558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426558">
              <w:rPr>
                <w:b/>
                <w:sz w:val="20"/>
                <w:szCs w:val="20"/>
              </w:rPr>
              <w:t>Months 3-6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4343B0" w:rsidRPr="00426558" w:rsidRDefault="004343B0" w:rsidP="00426558">
            <w:pPr>
              <w:jc w:val="center"/>
              <w:rPr>
                <w:b/>
                <w:sz w:val="20"/>
                <w:szCs w:val="20"/>
              </w:rPr>
            </w:pPr>
            <w:r w:rsidRPr="00426558">
              <w:rPr>
                <w:b/>
                <w:sz w:val="20"/>
                <w:szCs w:val="20"/>
              </w:rPr>
              <w:t>Months 7-12</w:t>
            </w:r>
          </w:p>
        </w:tc>
      </w:tr>
      <w:tr w:rsidR="000B0AEF" w:rsidRPr="00EB19AB" w:rsidTr="000B0AEF">
        <w:trPr>
          <w:trHeight w:val="900"/>
        </w:trPr>
        <w:tc>
          <w:tcPr>
            <w:tcW w:w="0" w:type="auto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Local HR Contact</w:t>
            </w:r>
          </w:p>
        </w:tc>
        <w:tc>
          <w:tcPr>
            <w:tcW w:w="2804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/>
                <w:iCs/>
                <w:sz w:val="20"/>
                <w:szCs w:val="20"/>
              </w:rPr>
            </w:pPr>
            <w:r w:rsidRPr="00B37888">
              <w:rPr>
                <w:iCs/>
                <w:sz w:val="20"/>
                <w:szCs w:val="20"/>
              </w:rPr>
              <w:t>Finalize start date</w:t>
            </w:r>
            <w:r w:rsidR="0084536A">
              <w:rPr>
                <w:i/>
                <w:iCs/>
                <w:sz w:val="20"/>
                <w:szCs w:val="20"/>
              </w:rPr>
              <w:t xml:space="preserve"> </w:t>
            </w:r>
            <w:r w:rsidR="0084536A">
              <w:rPr>
                <w:rStyle w:val="EndnoteReference"/>
                <w:i/>
                <w:iCs/>
                <w:sz w:val="20"/>
                <w:szCs w:val="20"/>
              </w:rPr>
              <w:endnoteReference w:id="1"/>
            </w:r>
          </w:p>
          <w:p w:rsidR="00EB19AB" w:rsidRPr="00EB19AB" w:rsidRDefault="002630C7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Submit hiring paperwork and enter in Bridge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/>
                <w:iCs/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Confirm </w:t>
            </w:r>
            <w:r w:rsidR="00B37888">
              <w:rPr>
                <w:sz w:val="20"/>
                <w:szCs w:val="20"/>
              </w:rPr>
              <w:t xml:space="preserve">onboarding </w:t>
            </w:r>
            <w:r w:rsidRPr="00EB19AB">
              <w:rPr>
                <w:sz w:val="20"/>
                <w:szCs w:val="20"/>
              </w:rPr>
              <w:t xml:space="preserve">roles &amp; responsibilities 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/>
                <w:iCs/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Confirm </w:t>
            </w:r>
            <w:r w:rsidR="00B37888">
              <w:rPr>
                <w:sz w:val="20"/>
                <w:szCs w:val="20"/>
              </w:rPr>
              <w:t xml:space="preserve">employee’s </w:t>
            </w:r>
            <w:r w:rsidRPr="00EB19AB">
              <w:rPr>
                <w:sz w:val="20"/>
                <w:szCs w:val="20"/>
              </w:rPr>
              <w:t xml:space="preserve">receipt of </w:t>
            </w:r>
            <w:r w:rsidR="00B37888">
              <w:rPr>
                <w:sz w:val="20"/>
                <w:szCs w:val="20"/>
              </w:rPr>
              <w:t>New Hire Letter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/>
                <w:iCs/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Email New Hire Letter to manager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/>
                <w:iCs/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Email employee with additional local instructions</w:t>
            </w:r>
            <w:r w:rsidR="00DA68ED">
              <w:rPr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sz w:val="20"/>
                <w:szCs w:val="20"/>
              </w:rPr>
              <w:endnoteReference w:id="2"/>
            </w:r>
          </w:p>
        </w:tc>
        <w:tc>
          <w:tcPr>
            <w:tcW w:w="2248" w:type="dxa"/>
            <w:hideMark/>
          </w:tcPr>
          <w:p w:rsidR="00EB19AB" w:rsidRPr="00EB19AB" w:rsidRDefault="002630C7" w:rsidP="002630C7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up email, KY #</w:t>
            </w:r>
          </w:p>
        </w:tc>
        <w:tc>
          <w:tcPr>
            <w:tcW w:w="2120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/>
                <w:iCs/>
                <w:sz w:val="20"/>
                <w:szCs w:val="20"/>
              </w:rPr>
            </w:pPr>
            <w:r w:rsidRPr="00DA685C">
              <w:rPr>
                <w:iCs/>
                <w:sz w:val="20"/>
                <w:szCs w:val="20"/>
              </w:rPr>
              <w:t>Communicate first day logistics</w:t>
            </w:r>
            <w:r w:rsidR="00DA685C">
              <w:rPr>
                <w:rStyle w:val="EndnoteReference"/>
                <w:i/>
                <w:iCs/>
                <w:sz w:val="20"/>
                <w:szCs w:val="20"/>
              </w:rPr>
              <w:endnoteReference w:id="3"/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/>
                <w:iCs/>
                <w:sz w:val="20"/>
                <w:szCs w:val="20"/>
              </w:rPr>
            </w:pPr>
            <w:r w:rsidRPr="00DA685C">
              <w:rPr>
                <w:iCs/>
                <w:sz w:val="20"/>
                <w:szCs w:val="20"/>
              </w:rPr>
              <w:t>Communicate social/practical norms &amp; info</w:t>
            </w:r>
            <w:r w:rsidR="00DA685C">
              <w:rPr>
                <w:rStyle w:val="EndnoteReference"/>
                <w:i/>
                <w:iCs/>
                <w:sz w:val="20"/>
                <w:szCs w:val="20"/>
              </w:rPr>
              <w:endnoteReference w:id="4"/>
            </w:r>
          </w:p>
        </w:tc>
        <w:tc>
          <w:tcPr>
            <w:tcW w:w="2520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Assist with completing any outstanding New Hire Activities</w:t>
            </w:r>
          </w:p>
        </w:tc>
        <w:tc>
          <w:tcPr>
            <w:tcW w:w="3059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Check in with employee 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Check in with manager</w:t>
            </w:r>
          </w:p>
        </w:tc>
        <w:tc>
          <w:tcPr>
            <w:tcW w:w="2352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Confirm understanding of key department policies &amp; procedures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Invite to welcome breakfast</w:t>
            </w:r>
          </w:p>
        </w:tc>
        <w:tc>
          <w:tcPr>
            <w:tcW w:w="0" w:type="auto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Perform 4-month interview</w:t>
            </w:r>
            <w:r w:rsidR="00DA68ED">
              <w:rPr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sz w:val="20"/>
                <w:szCs w:val="20"/>
              </w:rPr>
              <w:endnoteReference w:id="5"/>
            </w:r>
            <w:r w:rsidRPr="00EB19AB">
              <w:rPr>
                <w:sz w:val="20"/>
                <w:szCs w:val="20"/>
              </w:rPr>
              <w:t xml:space="preserve"> 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Send 5-month notice</w:t>
            </w:r>
          </w:p>
        </w:tc>
        <w:tc>
          <w:tcPr>
            <w:tcW w:w="0" w:type="auto"/>
            <w:hideMark/>
          </w:tcPr>
          <w:p w:rsidR="00EB19AB" w:rsidRPr="00426558" w:rsidRDefault="00EB19AB" w:rsidP="00426558">
            <w:pPr>
              <w:ind w:left="-9"/>
              <w:rPr>
                <w:sz w:val="20"/>
                <w:szCs w:val="20"/>
              </w:rPr>
            </w:pPr>
          </w:p>
        </w:tc>
      </w:tr>
      <w:tr w:rsidR="000B0AEF" w:rsidRPr="00EB19AB" w:rsidTr="000B0AEF">
        <w:trPr>
          <w:trHeight w:val="900"/>
        </w:trPr>
        <w:tc>
          <w:tcPr>
            <w:tcW w:w="0" w:type="auto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Office Administrator</w:t>
            </w:r>
          </w:p>
        </w:tc>
        <w:tc>
          <w:tcPr>
            <w:tcW w:w="2804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Request technology equipment </w:t>
            </w:r>
            <w:r w:rsidR="00DA685C">
              <w:rPr>
                <w:rStyle w:val="EndnoteReference"/>
                <w:sz w:val="20"/>
                <w:szCs w:val="20"/>
              </w:rPr>
              <w:endnoteReference w:id="6"/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Create personnel file</w:t>
            </w:r>
            <w:r w:rsidRPr="00EB19AB">
              <w:rPr>
                <w:i/>
                <w:iCs/>
                <w:sz w:val="20"/>
                <w:szCs w:val="20"/>
              </w:rPr>
              <w:t xml:space="preserve"> 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DA685C">
              <w:rPr>
                <w:iCs/>
                <w:sz w:val="20"/>
                <w:szCs w:val="20"/>
              </w:rPr>
              <w:t>Order personalized supplies</w:t>
            </w:r>
            <w:r w:rsidR="00DA685C">
              <w:rPr>
                <w:rStyle w:val="EndnoteReference"/>
                <w:sz w:val="20"/>
                <w:szCs w:val="20"/>
              </w:rPr>
              <w:endnoteReference w:id="7"/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Identify office location </w:t>
            </w:r>
          </w:p>
          <w:p w:rsidR="00EB19AB" w:rsidRPr="00EB19AB" w:rsidRDefault="00EB19AB" w:rsidP="00DA685C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Identify </w:t>
            </w:r>
            <w:r w:rsidR="00DA685C">
              <w:rPr>
                <w:sz w:val="20"/>
                <w:szCs w:val="20"/>
              </w:rPr>
              <w:t>orientation</w:t>
            </w:r>
            <w:r w:rsidRPr="00EB19AB">
              <w:rPr>
                <w:sz w:val="20"/>
                <w:szCs w:val="20"/>
              </w:rPr>
              <w:t xml:space="preserve"> buddy</w:t>
            </w:r>
          </w:p>
        </w:tc>
        <w:tc>
          <w:tcPr>
            <w:tcW w:w="2248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Update department documents</w:t>
            </w:r>
            <w:r w:rsidR="00DA68ED">
              <w:rPr>
                <w:sz w:val="20"/>
                <w:szCs w:val="20"/>
              </w:rPr>
              <w:t xml:space="preserve"> and databases </w:t>
            </w:r>
            <w:r w:rsidR="00DA68ED">
              <w:rPr>
                <w:rStyle w:val="EndnoteReference"/>
                <w:sz w:val="20"/>
                <w:szCs w:val="20"/>
              </w:rPr>
              <w:endnoteReference w:id="8"/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Arrange parking, if needed 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Request phone set up</w:t>
            </w:r>
          </w:p>
        </w:tc>
        <w:tc>
          <w:tcPr>
            <w:tcW w:w="2120" w:type="dxa"/>
            <w:hideMark/>
          </w:tcPr>
          <w:p w:rsidR="00EB19AB" w:rsidRPr="00426558" w:rsidRDefault="00EB19AB" w:rsidP="00426558">
            <w:pPr>
              <w:ind w:left="-9"/>
              <w:rPr>
                <w:sz w:val="20"/>
                <w:szCs w:val="20"/>
              </w:rPr>
            </w:pPr>
          </w:p>
        </w:tc>
        <w:tc>
          <w:tcPr>
            <w:tcW w:w="2520" w:type="dxa"/>
            <w:noWrap/>
            <w:hideMark/>
          </w:tcPr>
          <w:p w:rsidR="00EB19AB" w:rsidRPr="00426558" w:rsidRDefault="00EB19AB" w:rsidP="00426558">
            <w:pPr>
              <w:ind w:left="-9"/>
              <w:rPr>
                <w:sz w:val="20"/>
                <w:szCs w:val="20"/>
              </w:rPr>
            </w:pPr>
          </w:p>
        </w:tc>
        <w:tc>
          <w:tcPr>
            <w:tcW w:w="3059" w:type="dxa"/>
            <w:hideMark/>
          </w:tcPr>
          <w:p w:rsidR="00EB19AB" w:rsidRPr="00426558" w:rsidRDefault="00EB19AB" w:rsidP="00426558">
            <w:pPr>
              <w:ind w:left="-9"/>
              <w:rPr>
                <w:sz w:val="20"/>
                <w:szCs w:val="20"/>
              </w:rPr>
            </w:pPr>
          </w:p>
        </w:tc>
        <w:tc>
          <w:tcPr>
            <w:tcW w:w="2352" w:type="dxa"/>
            <w:hideMark/>
          </w:tcPr>
          <w:p w:rsidR="00EB19AB" w:rsidRPr="00426558" w:rsidRDefault="00EB19AB" w:rsidP="00426558">
            <w:pPr>
              <w:ind w:left="-9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19AB" w:rsidRPr="00426558" w:rsidRDefault="00EB19AB" w:rsidP="00426558">
            <w:pPr>
              <w:ind w:left="-9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19AB" w:rsidRPr="00426558" w:rsidRDefault="00EB19AB" w:rsidP="00426558">
            <w:pPr>
              <w:ind w:left="-9"/>
              <w:rPr>
                <w:sz w:val="20"/>
                <w:szCs w:val="20"/>
              </w:rPr>
            </w:pPr>
          </w:p>
        </w:tc>
      </w:tr>
      <w:tr w:rsidR="000B0AEF" w:rsidRPr="00EB19AB" w:rsidTr="000B0AEF">
        <w:trPr>
          <w:trHeight w:val="600"/>
        </w:trPr>
        <w:tc>
          <w:tcPr>
            <w:tcW w:w="0" w:type="auto"/>
            <w:hideMark/>
          </w:tcPr>
          <w:p w:rsidR="000B0AEF" w:rsidRPr="00EB19AB" w:rsidRDefault="000B0AEF">
            <w:pPr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Manager</w:t>
            </w:r>
          </w:p>
        </w:tc>
        <w:tc>
          <w:tcPr>
            <w:tcW w:w="2804" w:type="dxa"/>
            <w:hideMark/>
          </w:tcPr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Identify </w:t>
            </w:r>
            <w:r w:rsidR="00DA685C">
              <w:rPr>
                <w:sz w:val="20"/>
                <w:szCs w:val="20"/>
              </w:rPr>
              <w:t>peer</w:t>
            </w:r>
            <w:r w:rsidRPr="00EB19AB">
              <w:rPr>
                <w:sz w:val="20"/>
                <w:szCs w:val="20"/>
              </w:rPr>
              <w:t xml:space="preserve"> buddy </w:t>
            </w:r>
            <w:r w:rsidR="00DA685C">
              <w:rPr>
                <w:rStyle w:val="EndnoteReference"/>
                <w:sz w:val="20"/>
                <w:szCs w:val="20"/>
              </w:rPr>
              <w:endnoteReference w:id="9"/>
            </w:r>
          </w:p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Block off time for employee on calendar</w:t>
            </w:r>
          </w:p>
        </w:tc>
        <w:tc>
          <w:tcPr>
            <w:tcW w:w="2248" w:type="dxa"/>
            <w:hideMark/>
          </w:tcPr>
          <w:p w:rsidR="000B0AEF" w:rsidRPr="00EB19AB" w:rsidRDefault="0084536A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</w:t>
            </w:r>
            <w:r w:rsidR="00B37888">
              <w:rPr>
                <w:sz w:val="20"/>
                <w:szCs w:val="20"/>
              </w:rPr>
              <w:t>to standing meetings</w:t>
            </w:r>
          </w:p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Request authorizations</w:t>
            </w:r>
            <w:r w:rsidR="00DA68ED">
              <w:rPr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sz w:val="20"/>
                <w:szCs w:val="20"/>
              </w:rPr>
              <w:endnoteReference w:id="10"/>
            </w:r>
          </w:p>
        </w:tc>
        <w:tc>
          <w:tcPr>
            <w:tcW w:w="2120" w:type="dxa"/>
            <w:hideMark/>
          </w:tcPr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Orient </w:t>
            </w:r>
            <w:r w:rsidR="00DA685C">
              <w:rPr>
                <w:sz w:val="20"/>
                <w:szCs w:val="20"/>
              </w:rPr>
              <w:t>peer</w:t>
            </w:r>
            <w:r w:rsidRPr="00EB19AB">
              <w:rPr>
                <w:sz w:val="20"/>
                <w:szCs w:val="20"/>
              </w:rPr>
              <w:t xml:space="preserve"> buddy</w:t>
            </w:r>
            <w:r w:rsidRPr="00EB19AB">
              <w:rPr>
                <w:i/>
                <w:iCs/>
                <w:sz w:val="20"/>
                <w:szCs w:val="20"/>
              </w:rPr>
              <w:t xml:space="preserve"> </w:t>
            </w:r>
          </w:p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DA685C">
              <w:rPr>
                <w:iCs/>
                <w:sz w:val="20"/>
                <w:szCs w:val="20"/>
              </w:rPr>
              <w:t>Announce hire to department/team/area</w:t>
            </w:r>
            <w:r w:rsidRPr="00EB19AB">
              <w:rPr>
                <w:sz w:val="20"/>
                <w:szCs w:val="20"/>
              </w:rPr>
              <w:t xml:space="preserve"> </w:t>
            </w:r>
            <w:r w:rsidR="00DA685C">
              <w:rPr>
                <w:rStyle w:val="EndnoteReference"/>
                <w:sz w:val="20"/>
                <w:szCs w:val="20"/>
              </w:rPr>
              <w:endnoteReference w:id="11"/>
            </w:r>
          </w:p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Place welcome call to employee</w:t>
            </w:r>
            <w:r w:rsidRPr="00EB19AB">
              <w:rPr>
                <w:i/>
                <w:iCs/>
                <w:sz w:val="20"/>
                <w:szCs w:val="20"/>
              </w:rPr>
              <w:t xml:space="preserve"> </w:t>
            </w:r>
          </w:p>
          <w:p w:rsidR="000B0AEF" w:rsidRPr="00EB19AB" w:rsidRDefault="00B37888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</w:t>
            </w:r>
            <w:r w:rsidR="000B0AEF" w:rsidRPr="00B37888">
              <w:rPr>
                <w:iCs/>
                <w:sz w:val="20"/>
                <w:szCs w:val="20"/>
              </w:rPr>
              <w:t xml:space="preserve"> schedule for first few weeks</w:t>
            </w:r>
            <w:r w:rsidR="00DA68ED">
              <w:rPr>
                <w:i/>
                <w:iCs/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i/>
                <w:iCs/>
                <w:sz w:val="20"/>
                <w:szCs w:val="20"/>
              </w:rPr>
              <w:endnoteReference w:id="12"/>
            </w:r>
          </w:p>
        </w:tc>
        <w:tc>
          <w:tcPr>
            <w:tcW w:w="2520" w:type="dxa"/>
            <w:hideMark/>
          </w:tcPr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Orient to role, responsibilities &amp; expectations </w:t>
            </w:r>
            <w:r w:rsidR="0084536A">
              <w:rPr>
                <w:rStyle w:val="EndnoteReference"/>
                <w:sz w:val="20"/>
                <w:szCs w:val="20"/>
              </w:rPr>
              <w:endnoteReference w:id="13"/>
            </w:r>
          </w:p>
          <w:p w:rsidR="000B0AEF" w:rsidRPr="00EB19AB" w:rsidRDefault="000B0AEF" w:rsidP="002630C7">
            <w:pPr>
              <w:pStyle w:val="ListParagraph"/>
              <w:ind w:left="216"/>
              <w:rPr>
                <w:sz w:val="20"/>
                <w:szCs w:val="20"/>
              </w:rPr>
            </w:pPr>
          </w:p>
        </w:tc>
        <w:tc>
          <w:tcPr>
            <w:tcW w:w="3059" w:type="dxa"/>
            <w:hideMark/>
          </w:tcPr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Identify &amp; address learning needs</w:t>
            </w:r>
            <w:r w:rsidRPr="00EB19AB">
              <w:rPr>
                <w:i/>
                <w:iCs/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i/>
                <w:iCs/>
                <w:sz w:val="20"/>
                <w:szCs w:val="20"/>
              </w:rPr>
              <w:endnoteReference w:id="14"/>
            </w:r>
          </w:p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DA68ED">
              <w:rPr>
                <w:iCs/>
                <w:sz w:val="20"/>
                <w:szCs w:val="20"/>
              </w:rPr>
              <w:t>Discuss communication</w:t>
            </w:r>
            <w:r w:rsidRPr="00EB19AB">
              <w:rPr>
                <w:i/>
                <w:iCs/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i/>
                <w:iCs/>
                <w:sz w:val="20"/>
                <w:szCs w:val="20"/>
              </w:rPr>
              <w:endnoteReference w:id="15"/>
            </w:r>
          </w:p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DA68ED">
              <w:rPr>
                <w:iCs/>
                <w:sz w:val="20"/>
                <w:szCs w:val="20"/>
              </w:rPr>
              <w:t>Give overview of department/ area</w:t>
            </w:r>
            <w:r w:rsidR="00DA68ED">
              <w:rPr>
                <w:i/>
                <w:iCs/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i/>
                <w:iCs/>
                <w:sz w:val="20"/>
                <w:szCs w:val="20"/>
              </w:rPr>
              <w:endnoteReference w:id="16"/>
            </w:r>
          </w:p>
        </w:tc>
        <w:tc>
          <w:tcPr>
            <w:tcW w:w="2352" w:type="dxa"/>
            <w:hideMark/>
          </w:tcPr>
          <w:p w:rsidR="000B0AEF" w:rsidRPr="00EB19AB" w:rsidRDefault="002630C7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 to LHD</w:t>
            </w:r>
            <w:r w:rsidR="000B0AEF" w:rsidRPr="00EB19AB">
              <w:rPr>
                <w:sz w:val="20"/>
                <w:szCs w:val="20"/>
              </w:rPr>
              <w:t xml:space="preserve"> as an Institution </w:t>
            </w:r>
            <w:r w:rsidR="00DA68ED">
              <w:rPr>
                <w:rStyle w:val="EndnoteReference"/>
                <w:sz w:val="20"/>
                <w:szCs w:val="20"/>
              </w:rPr>
              <w:endnoteReference w:id="17"/>
            </w:r>
          </w:p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Discuss &amp; set goals</w:t>
            </w:r>
            <w:r w:rsidR="0084536A">
              <w:rPr>
                <w:sz w:val="20"/>
                <w:szCs w:val="20"/>
              </w:rPr>
              <w:t xml:space="preserve"> </w:t>
            </w:r>
            <w:r w:rsidR="0084536A">
              <w:rPr>
                <w:rStyle w:val="EndnoteReference"/>
                <w:sz w:val="20"/>
                <w:szCs w:val="20"/>
              </w:rPr>
              <w:endnoteReference w:id="18"/>
            </w:r>
            <w:r w:rsidRPr="00EB19AB">
              <w:rPr>
                <w:sz w:val="20"/>
                <w:szCs w:val="20"/>
              </w:rPr>
              <w:t xml:space="preserve"> </w:t>
            </w:r>
          </w:p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Perform 3-month check in </w:t>
            </w:r>
          </w:p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Introduce to c</w:t>
            </w:r>
            <w:r w:rsidR="002630C7">
              <w:rPr>
                <w:sz w:val="20"/>
                <w:szCs w:val="20"/>
              </w:rPr>
              <w:t>lients/colleagues from other LHD</w:t>
            </w:r>
            <w:r w:rsidRPr="00EB19AB">
              <w:rPr>
                <w:sz w:val="20"/>
                <w:szCs w:val="20"/>
              </w:rPr>
              <w:t>s/sites</w:t>
            </w:r>
            <w:r w:rsidR="00B37888">
              <w:rPr>
                <w:sz w:val="20"/>
                <w:szCs w:val="20"/>
              </w:rPr>
              <w:t xml:space="preserve"> </w:t>
            </w:r>
            <w:r w:rsidR="00B37888">
              <w:rPr>
                <w:rStyle w:val="EndnoteReference"/>
                <w:sz w:val="20"/>
                <w:szCs w:val="20"/>
              </w:rPr>
              <w:endnoteReference w:id="19"/>
            </w:r>
          </w:p>
        </w:tc>
        <w:tc>
          <w:tcPr>
            <w:tcW w:w="0" w:type="auto"/>
            <w:hideMark/>
          </w:tcPr>
          <w:p w:rsidR="000B0AEF" w:rsidRPr="00EB19AB" w:rsidRDefault="000B0AEF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Perform 6-month review</w:t>
            </w:r>
            <w:r w:rsidR="00DA68ED">
              <w:rPr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sz w:val="20"/>
                <w:szCs w:val="20"/>
              </w:rPr>
              <w:endnoteReference w:id="20"/>
            </w:r>
          </w:p>
        </w:tc>
        <w:tc>
          <w:tcPr>
            <w:tcW w:w="0" w:type="auto"/>
            <w:hideMark/>
          </w:tcPr>
          <w:p w:rsidR="000B0AEF" w:rsidRPr="00EB19AB" w:rsidRDefault="000B0AEF" w:rsidP="0029618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Perform 1-year review</w:t>
            </w:r>
            <w:r w:rsidR="00DA68ED">
              <w:rPr>
                <w:sz w:val="20"/>
                <w:szCs w:val="20"/>
              </w:rPr>
              <w:t xml:space="preserve"> </w:t>
            </w:r>
          </w:p>
        </w:tc>
      </w:tr>
      <w:tr w:rsidR="000B0AEF" w:rsidRPr="00EB19AB" w:rsidTr="000B0AEF">
        <w:trPr>
          <w:trHeight w:val="900"/>
        </w:trPr>
        <w:tc>
          <w:tcPr>
            <w:tcW w:w="0" w:type="auto"/>
            <w:hideMark/>
          </w:tcPr>
          <w:p w:rsidR="00EB19AB" w:rsidRPr="00EB19AB" w:rsidRDefault="00DA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Orientation </w:t>
            </w:r>
            <w:r w:rsidR="00EB19AB" w:rsidRPr="00EB19AB">
              <w:rPr>
                <w:sz w:val="20"/>
                <w:szCs w:val="20"/>
              </w:rPr>
              <w:t>Buddy</w:t>
            </w:r>
          </w:p>
        </w:tc>
        <w:tc>
          <w:tcPr>
            <w:tcW w:w="2804" w:type="dxa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hideMark/>
          </w:tcPr>
          <w:p w:rsidR="00426558" w:rsidRDefault="00426558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 xml:space="preserve">Block off time </w:t>
            </w:r>
            <w:r w:rsidR="00B37888">
              <w:rPr>
                <w:sz w:val="20"/>
                <w:szCs w:val="20"/>
              </w:rPr>
              <w:t>to spend with employee</w:t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Prepare welcome packet</w:t>
            </w:r>
            <w:r w:rsidRPr="00EB19AB">
              <w:rPr>
                <w:i/>
                <w:iCs/>
                <w:sz w:val="20"/>
                <w:szCs w:val="20"/>
              </w:rPr>
              <w:t xml:space="preserve"> </w:t>
            </w:r>
            <w:r w:rsidR="0084536A">
              <w:rPr>
                <w:rStyle w:val="EndnoteReference"/>
                <w:i/>
                <w:iCs/>
                <w:sz w:val="20"/>
                <w:szCs w:val="20"/>
              </w:rPr>
              <w:endnoteReference w:id="21"/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B37888">
              <w:rPr>
                <w:iCs/>
                <w:sz w:val="20"/>
                <w:szCs w:val="20"/>
              </w:rPr>
              <w:t>Prepare office</w:t>
            </w:r>
            <w:r w:rsidR="0084536A">
              <w:rPr>
                <w:i/>
                <w:iCs/>
                <w:sz w:val="20"/>
                <w:szCs w:val="20"/>
              </w:rPr>
              <w:t xml:space="preserve"> </w:t>
            </w:r>
            <w:r w:rsidR="0084536A">
              <w:rPr>
                <w:rStyle w:val="EndnoteReference"/>
                <w:i/>
                <w:iCs/>
                <w:sz w:val="20"/>
                <w:szCs w:val="20"/>
              </w:rPr>
              <w:endnoteReference w:id="22"/>
            </w:r>
          </w:p>
        </w:tc>
        <w:tc>
          <w:tcPr>
            <w:tcW w:w="2520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84536A">
              <w:rPr>
                <w:iCs/>
                <w:sz w:val="20"/>
                <w:szCs w:val="20"/>
              </w:rPr>
              <w:t>Give tour of local work environment(s)</w:t>
            </w:r>
            <w:r w:rsidRPr="00EB19AB">
              <w:rPr>
                <w:sz w:val="20"/>
                <w:szCs w:val="20"/>
              </w:rPr>
              <w:t xml:space="preserve"> </w:t>
            </w:r>
            <w:r w:rsidR="0084536A">
              <w:rPr>
                <w:rStyle w:val="EndnoteReference"/>
                <w:sz w:val="20"/>
                <w:szCs w:val="20"/>
              </w:rPr>
              <w:endnoteReference w:id="23"/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Introduce employee to local co-workers</w:t>
            </w:r>
          </w:p>
        </w:tc>
        <w:tc>
          <w:tcPr>
            <w:tcW w:w="3059" w:type="dxa"/>
            <w:hideMark/>
          </w:tcPr>
          <w:p w:rsidR="00EB19AB" w:rsidRPr="00EB19AB" w:rsidRDefault="00B37888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 to local IT systems </w:t>
            </w:r>
            <w:r>
              <w:rPr>
                <w:rStyle w:val="EndnoteReference"/>
                <w:sz w:val="20"/>
                <w:szCs w:val="20"/>
              </w:rPr>
              <w:endnoteReference w:id="24"/>
            </w:r>
          </w:p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84536A">
              <w:rPr>
                <w:iCs/>
                <w:sz w:val="20"/>
                <w:szCs w:val="20"/>
              </w:rPr>
              <w:t>Explain local administrative &amp; financial procedures</w:t>
            </w:r>
            <w:r w:rsidRPr="00EB19AB">
              <w:rPr>
                <w:sz w:val="20"/>
                <w:szCs w:val="20"/>
              </w:rPr>
              <w:t xml:space="preserve"> </w:t>
            </w:r>
            <w:r w:rsidR="0084536A">
              <w:rPr>
                <w:rStyle w:val="EndnoteReference"/>
                <w:sz w:val="20"/>
                <w:szCs w:val="20"/>
              </w:rPr>
              <w:endnoteReference w:id="25"/>
            </w:r>
          </w:p>
          <w:p w:rsidR="00EB19AB" w:rsidRPr="00EB19AB" w:rsidRDefault="0029618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 to LHD</w:t>
            </w:r>
            <w:r w:rsidR="00EB19AB" w:rsidRPr="00EB19AB">
              <w:rPr>
                <w:sz w:val="20"/>
                <w:szCs w:val="20"/>
              </w:rPr>
              <w:t xml:space="preserve"> online resources</w:t>
            </w:r>
            <w:r w:rsidR="00DA68ED">
              <w:rPr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sz w:val="20"/>
                <w:szCs w:val="20"/>
              </w:rPr>
              <w:endnoteReference w:id="26"/>
            </w:r>
          </w:p>
        </w:tc>
        <w:tc>
          <w:tcPr>
            <w:tcW w:w="2352" w:type="dxa"/>
            <w:hideMark/>
          </w:tcPr>
          <w:p w:rsidR="00EB19AB" w:rsidRPr="00EB19AB" w:rsidRDefault="00B37888" w:rsidP="00B37888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S</w:t>
            </w:r>
            <w:r w:rsidR="0029618B">
              <w:rPr>
                <w:sz w:val="20"/>
                <w:szCs w:val="20"/>
              </w:rPr>
              <w:t>hare perks and benefits of LHD</w:t>
            </w:r>
            <w:r>
              <w:rPr>
                <w:sz w:val="20"/>
                <w:szCs w:val="20"/>
              </w:rPr>
              <w:t xml:space="preserve"> employment</w:t>
            </w:r>
            <w:r w:rsidRPr="00EB19AB">
              <w:rPr>
                <w:sz w:val="20"/>
                <w:szCs w:val="20"/>
              </w:rPr>
              <w:t xml:space="preserve"> </w:t>
            </w:r>
            <w:r>
              <w:rPr>
                <w:rStyle w:val="EndnoteReference"/>
                <w:sz w:val="20"/>
                <w:szCs w:val="20"/>
              </w:rPr>
              <w:endnoteReference w:id="27"/>
            </w:r>
          </w:p>
        </w:tc>
        <w:tc>
          <w:tcPr>
            <w:tcW w:w="0" w:type="auto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</w:tr>
      <w:tr w:rsidR="000B0AEF" w:rsidRPr="00EB19AB" w:rsidTr="000B0AEF">
        <w:trPr>
          <w:trHeight w:val="600"/>
        </w:trPr>
        <w:tc>
          <w:tcPr>
            <w:tcW w:w="0" w:type="auto"/>
            <w:hideMark/>
          </w:tcPr>
          <w:p w:rsidR="00EB19AB" w:rsidRPr="00EB19AB" w:rsidRDefault="00DA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 </w:t>
            </w:r>
            <w:r w:rsidR="00EB19AB" w:rsidRPr="00EB19AB">
              <w:rPr>
                <w:sz w:val="20"/>
                <w:szCs w:val="20"/>
              </w:rPr>
              <w:t>Buddy</w:t>
            </w:r>
          </w:p>
        </w:tc>
        <w:tc>
          <w:tcPr>
            <w:tcW w:w="2804" w:type="dxa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hideMark/>
          </w:tcPr>
          <w:p w:rsidR="00EB19AB" w:rsidRPr="00EB19AB" w:rsidRDefault="00EB19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t>Introduce self</w:t>
            </w:r>
          </w:p>
        </w:tc>
        <w:tc>
          <w:tcPr>
            <w:tcW w:w="3059" w:type="dxa"/>
            <w:noWrap/>
            <w:hideMark/>
          </w:tcPr>
          <w:p w:rsidR="00EB19AB" w:rsidRPr="00EB19AB" w:rsidRDefault="0029618B" w:rsidP="0029618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 to have lunch with new employee</w:t>
            </w:r>
            <w:r w:rsidR="00EB19AB" w:rsidRPr="00EB19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hideMark/>
          </w:tcPr>
          <w:p w:rsidR="00EB19AB" w:rsidRPr="00EB19AB" w:rsidRDefault="00EB19AB" w:rsidP="0029618B">
            <w:pPr>
              <w:pStyle w:val="ListParagraph"/>
              <w:ind w:left="216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</w:tr>
      <w:tr w:rsidR="000B0AEF" w:rsidRPr="00EB19AB" w:rsidTr="000B0AEF">
        <w:trPr>
          <w:trHeight w:val="600"/>
        </w:trPr>
        <w:tc>
          <w:tcPr>
            <w:tcW w:w="0" w:type="auto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  <w:r w:rsidRPr="00EB19AB">
              <w:rPr>
                <w:sz w:val="20"/>
                <w:szCs w:val="20"/>
              </w:rPr>
              <w:lastRenderedPageBreak/>
              <w:t>Local IT provider</w:t>
            </w:r>
          </w:p>
        </w:tc>
        <w:tc>
          <w:tcPr>
            <w:tcW w:w="2804" w:type="dxa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hideMark/>
          </w:tcPr>
          <w:p w:rsidR="00EB19AB" w:rsidRPr="00B37888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Cs/>
                <w:sz w:val="20"/>
                <w:szCs w:val="20"/>
              </w:rPr>
            </w:pPr>
            <w:r w:rsidRPr="00B37888">
              <w:rPr>
                <w:iCs/>
                <w:sz w:val="20"/>
                <w:szCs w:val="20"/>
              </w:rPr>
              <w:t>Configure/set up equipment</w:t>
            </w:r>
          </w:p>
        </w:tc>
        <w:tc>
          <w:tcPr>
            <w:tcW w:w="2120" w:type="dxa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hideMark/>
          </w:tcPr>
          <w:p w:rsidR="00EB19AB" w:rsidRPr="00EB19AB" w:rsidRDefault="00EB19AB" w:rsidP="00EB19AB">
            <w:pPr>
              <w:pStyle w:val="ListParagraph"/>
              <w:numPr>
                <w:ilvl w:val="0"/>
                <w:numId w:val="1"/>
              </w:numPr>
              <w:ind w:left="216" w:hanging="225"/>
              <w:rPr>
                <w:i/>
                <w:iCs/>
                <w:sz w:val="20"/>
                <w:szCs w:val="20"/>
              </w:rPr>
            </w:pPr>
            <w:r w:rsidRPr="00B37888">
              <w:rPr>
                <w:iCs/>
                <w:sz w:val="20"/>
                <w:szCs w:val="20"/>
              </w:rPr>
              <w:t>Assist with phone and technology equipment set-up and basic use</w:t>
            </w:r>
            <w:r w:rsidR="00DA68ED">
              <w:rPr>
                <w:i/>
                <w:iCs/>
                <w:sz w:val="20"/>
                <w:szCs w:val="20"/>
              </w:rPr>
              <w:t xml:space="preserve"> </w:t>
            </w:r>
            <w:r w:rsidR="00DA68ED">
              <w:rPr>
                <w:rStyle w:val="EndnoteReference"/>
                <w:i/>
                <w:iCs/>
                <w:sz w:val="20"/>
                <w:szCs w:val="20"/>
              </w:rPr>
              <w:endnoteReference w:id="28"/>
            </w:r>
          </w:p>
        </w:tc>
        <w:tc>
          <w:tcPr>
            <w:tcW w:w="3059" w:type="dxa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19AB" w:rsidRPr="00EB19AB" w:rsidRDefault="00EB19AB">
            <w:pPr>
              <w:rPr>
                <w:sz w:val="20"/>
                <w:szCs w:val="20"/>
              </w:rPr>
            </w:pPr>
          </w:p>
        </w:tc>
      </w:tr>
    </w:tbl>
    <w:p w:rsidR="00EB19AB" w:rsidRDefault="00EB19AB" w:rsidP="00B37888"/>
    <w:sectPr w:rsidR="00EB19AB" w:rsidSect="00EB19AB">
      <w:endnotePr>
        <w:numFmt w:val="decimal"/>
      </w:endnotePr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69" w:rsidRDefault="00FF6F69" w:rsidP="00DA685C">
      <w:pPr>
        <w:spacing w:after="0" w:line="240" w:lineRule="auto"/>
      </w:pPr>
      <w:r>
        <w:separator/>
      </w:r>
    </w:p>
  </w:endnote>
  <w:endnote w:type="continuationSeparator" w:id="0">
    <w:p w:rsidR="00FF6F69" w:rsidRDefault="00FF6F69" w:rsidP="00DA685C">
      <w:pPr>
        <w:spacing w:after="0" w:line="240" w:lineRule="auto"/>
      </w:pPr>
      <w:r>
        <w:continuationSeparator/>
      </w:r>
    </w:p>
  </w:endnote>
  <w:endnote w:id="1">
    <w:p w:rsidR="0084536A" w:rsidRPr="000B76FE" w:rsidRDefault="0084536A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When determining a start date, make sure the manager will be available to spend time with the new hire, and that there will be sufficient time to prepare for him/her</w:t>
      </w:r>
    </w:p>
  </w:endnote>
  <w:endnote w:id="2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Could include electronic version </w:t>
      </w:r>
      <w:r w:rsidR="002630C7">
        <w:rPr>
          <w:sz w:val="22"/>
        </w:rPr>
        <w:t>of the HR New Hire Letter, hiring</w:t>
      </w:r>
      <w:r w:rsidRPr="000B76FE">
        <w:rPr>
          <w:sz w:val="22"/>
        </w:rPr>
        <w:t xml:space="preserve"> forms, pre-hire checklists</w:t>
      </w:r>
    </w:p>
  </w:endnote>
  <w:endnote w:id="3">
    <w:p w:rsidR="00DA685C" w:rsidRPr="000B76FE" w:rsidRDefault="00DA685C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Confirm start date &amp; time, and where they should </w:t>
      </w:r>
      <w:r w:rsidR="00CE4996">
        <w:rPr>
          <w:sz w:val="22"/>
        </w:rPr>
        <w:t>go first; parking</w:t>
      </w:r>
      <w:bookmarkStart w:id="0" w:name="_GoBack"/>
      <w:bookmarkEnd w:id="0"/>
      <w:r w:rsidRPr="000B76FE">
        <w:rPr>
          <w:sz w:val="22"/>
        </w:rPr>
        <w:t>; what to bring/prepare (e.g. I-9 documentation); basic schedule for the day</w:t>
      </w:r>
    </w:p>
  </w:endnote>
  <w:endnote w:id="4">
    <w:p w:rsidR="00DA685C" w:rsidRPr="000B76FE" w:rsidRDefault="00DA685C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This could include info about kitchen facilities and lunch options; info about office space; guidelines on clothing (what to wear/bring, esp. if climate control is an issue)</w:t>
      </w:r>
    </w:p>
  </w:endnote>
  <w:endnote w:id="5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Might want to review this grid to identify any incomplete items</w:t>
      </w:r>
    </w:p>
  </w:endnote>
  <w:endnote w:id="6">
    <w:p w:rsidR="00DA685C" w:rsidRPr="000B76FE" w:rsidRDefault="00DA685C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Includes hardware (laptop, tablet, phone); software</w:t>
      </w:r>
    </w:p>
  </w:endnote>
  <w:endnote w:id="7">
    <w:p w:rsidR="00DA685C" w:rsidRPr="000B76FE" w:rsidRDefault="00DA685C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Personalized supplies might include: Business cards, name plate, nametag, badge, uniform</w:t>
      </w:r>
    </w:p>
  </w:endnote>
  <w:endnote w:id="8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These might include org charts, local staff directories/databases/websites, online department directory, floor plans</w:t>
      </w:r>
    </w:p>
  </w:endnote>
  <w:endnote w:id="9">
    <w:p w:rsidR="00DA685C" w:rsidRPr="000B76FE" w:rsidRDefault="00DA685C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See Buddy Guidelines </w:t>
      </w:r>
    </w:p>
  </w:endnote>
  <w:endnote w:id="10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Authorizations might </w:t>
      </w:r>
      <w:r w:rsidR="00AA3887" w:rsidRPr="000B76FE">
        <w:rPr>
          <w:sz w:val="22"/>
        </w:rPr>
        <w:t>include</w:t>
      </w:r>
      <w:r w:rsidRPr="000B76FE">
        <w:rPr>
          <w:sz w:val="22"/>
        </w:rPr>
        <w:t xml:space="preserve"> access to department servers, printers, intranets, databases, buildings, copiers, etc. Add to mailing lists; add authorizations in Roles database; request travel card</w:t>
      </w:r>
    </w:p>
  </w:endnote>
  <w:endnote w:id="11">
    <w:p w:rsidR="00DA685C" w:rsidRPr="000B76FE" w:rsidRDefault="00DA685C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Announcements should include start date, employee’s role, and a short bio. Copy the new employee, if appropriate.</w:t>
      </w:r>
    </w:p>
  </w:endnote>
  <w:endnote w:id="12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Identify </w:t>
      </w:r>
      <w:r w:rsidR="00B37888" w:rsidRPr="000B76FE">
        <w:rPr>
          <w:sz w:val="22"/>
        </w:rPr>
        <w:t xml:space="preserve">standing </w:t>
      </w:r>
      <w:r w:rsidRPr="000B76FE">
        <w:rPr>
          <w:sz w:val="22"/>
        </w:rPr>
        <w:t>meetin</w:t>
      </w:r>
      <w:r w:rsidR="002630C7">
        <w:rPr>
          <w:sz w:val="22"/>
        </w:rPr>
        <w:t>gs to attend, people to meet</w:t>
      </w:r>
      <w:r w:rsidRPr="000B76FE">
        <w:rPr>
          <w:sz w:val="22"/>
        </w:rPr>
        <w:t xml:space="preserve"> with in first weeks; could include welcome breakfast or other local new hire event; 1:1 meetings with area directors, peers, direct reports, clients, colleagues; HR New Hire Orientation</w:t>
      </w:r>
      <w:r w:rsidR="00B37888" w:rsidRPr="000B76FE">
        <w:rPr>
          <w:sz w:val="22"/>
        </w:rPr>
        <w:t xml:space="preserve"> and other trainings</w:t>
      </w:r>
      <w:r w:rsidR="002630C7">
        <w:rPr>
          <w:sz w:val="22"/>
        </w:rPr>
        <w:t xml:space="preserve">; </w:t>
      </w:r>
      <w:r w:rsidRPr="000B76FE">
        <w:rPr>
          <w:sz w:val="22"/>
        </w:rPr>
        <w:t>etc.</w:t>
      </w:r>
      <w:r w:rsidR="00B37888" w:rsidRPr="000B76FE">
        <w:rPr>
          <w:sz w:val="22"/>
        </w:rPr>
        <w:t xml:space="preserve"> </w:t>
      </w:r>
    </w:p>
  </w:endnote>
  <w:endnote w:id="13">
    <w:p w:rsidR="0084536A" w:rsidRPr="000B76FE" w:rsidRDefault="0084536A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Discuss job description; performance review process; set expectations for the first several months, including getting/giving feedback</w:t>
      </w:r>
    </w:p>
  </w:endnote>
  <w:endnote w:id="14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Could be standard software (e.g. M</w:t>
      </w:r>
      <w:r w:rsidR="002630C7">
        <w:rPr>
          <w:sz w:val="22"/>
        </w:rPr>
        <w:t>icrosoft Office); equipment; LHD</w:t>
      </w:r>
      <w:r w:rsidRPr="000B76FE">
        <w:rPr>
          <w:sz w:val="22"/>
        </w:rPr>
        <w:t>-specific tools or procedures; business skills; reference materials. Training options include 1:1 training by a colleague, open enro</w:t>
      </w:r>
      <w:r w:rsidR="0029618B">
        <w:rPr>
          <w:sz w:val="22"/>
        </w:rPr>
        <w:t>llment courses,</w:t>
      </w:r>
      <w:r w:rsidRPr="000B76FE">
        <w:rPr>
          <w:sz w:val="22"/>
        </w:rPr>
        <w:t xml:space="preserve"> reading/self-study, etc.</w:t>
      </w:r>
    </w:p>
  </w:endnote>
  <w:endnote w:id="15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Include how, when, how often to communicate; specific meeting schedule (both regular meetings and specific onboarding check-ins for assessment/feedback)</w:t>
      </w:r>
    </w:p>
  </w:endnote>
  <w:endnote w:id="16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Overview might include org structure, subgroups, teams, methods of communication (internal and external), mission, vision, values, culture; include how role interacts with other teams</w:t>
      </w:r>
    </w:p>
  </w:endnote>
  <w:endnote w:id="17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="002630C7">
        <w:rPr>
          <w:sz w:val="22"/>
        </w:rPr>
        <w:t xml:space="preserve"> Orientation to LHD’s</w:t>
      </w:r>
      <w:r w:rsidRPr="000B76FE">
        <w:rPr>
          <w:sz w:val="22"/>
        </w:rPr>
        <w:t xml:space="preserve"> mission, vision, structure, culture. Partially</w:t>
      </w:r>
      <w:r w:rsidR="00AA3887">
        <w:rPr>
          <w:sz w:val="22"/>
        </w:rPr>
        <w:t xml:space="preserve"> done at New Hire Orientation, c</w:t>
      </w:r>
      <w:r w:rsidRPr="000B76FE">
        <w:rPr>
          <w:sz w:val="22"/>
        </w:rPr>
        <w:t>ould be done through a specific project or assignment.</w:t>
      </w:r>
    </w:p>
  </w:endnote>
  <w:endnote w:id="18">
    <w:p w:rsidR="0084536A" w:rsidRPr="000B76FE" w:rsidRDefault="0084536A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Include short, medium and long-term goals; Incorporate employee's unique skills, interests &amp; expectations</w:t>
      </w:r>
    </w:p>
  </w:endnote>
  <w:endnote w:id="19">
    <w:p w:rsidR="00B37888" w:rsidRPr="000B76FE" w:rsidRDefault="00B37888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Could include attending meetings, visiting sites, shadowing; Explain/demonstrate how role/department in</w:t>
      </w:r>
      <w:r w:rsidR="002630C7">
        <w:rPr>
          <w:sz w:val="22"/>
        </w:rPr>
        <w:t>tersects with other areas at LHD</w:t>
      </w:r>
      <w:r w:rsidRPr="000B76FE">
        <w:rPr>
          <w:sz w:val="22"/>
        </w:rPr>
        <w:t>; goal is for the employee to have professional relationships within each group</w:t>
      </w:r>
    </w:p>
  </w:endnote>
  <w:endnote w:id="20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Re-visit job description, goals and expectations; discuss additional training, development, and networking needs</w:t>
      </w:r>
    </w:p>
  </w:endnote>
  <w:endnote w:id="21">
    <w:p w:rsidR="0084536A" w:rsidRPr="000B76FE" w:rsidRDefault="0084536A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Welcome Packet might </w:t>
      </w:r>
      <w:proofErr w:type="gramStart"/>
      <w:r w:rsidRPr="000B76FE">
        <w:rPr>
          <w:sz w:val="22"/>
        </w:rPr>
        <w:t>include:</w:t>
      </w:r>
      <w:proofErr w:type="gramEnd"/>
      <w:r w:rsidRPr="000B76FE">
        <w:rPr>
          <w:sz w:val="22"/>
        </w:rPr>
        <w:t xml:space="preserve"> job description, welcome note from manager, schedule for first few weeks, contact names and phone lists (in</w:t>
      </w:r>
      <w:r w:rsidR="0029618B">
        <w:rPr>
          <w:sz w:val="22"/>
        </w:rPr>
        <w:t>cluding who to go to for what)</w:t>
      </w:r>
      <w:r w:rsidRPr="000B76FE">
        <w:rPr>
          <w:sz w:val="22"/>
        </w:rPr>
        <w:t>, important websites, access codes, instructions for using phone</w:t>
      </w:r>
      <w:r w:rsidR="0029618B">
        <w:rPr>
          <w:sz w:val="22"/>
        </w:rPr>
        <w:t xml:space="preserve"> &amp; computers systems</w:t>
      </w:r>
      <w:r w:rsidRPr="000B76FE">
        <w:rPr>
          <w:sz w:val="22"/>
        </w:rPr>
        <w:t>, mission and values of the Institute,</w:t>
      </w:r>
      <w:r w:rsidR="0029618B">
        <w:rPr>
          <w:sz w:val="22"/>
        </w:rPr>
        <w:t xml:space="preserve"> information on your area</w:t>
      </w:r>
      <w:r w:rsidRPr="000B76FE">
        <w:rPr>
          <w:sz w:val="22"/>
        </w:rPr>
        <w:t xml:space="preserve">, etc. </w:t>
      </w:r>
    </w:p>
  </w:endnote>
  <w:endnote w:id="22">
    <w:p w:rsidR="0084536A" w:rsidRPr="000B76FE" w:rsidRDefault="0084536A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Preparing the office might include: Cleaning the work area; setting up cube/office space with supplies, including keys, business cards, name plate; assigning a mailbox; adding name to attendance boards</w:t>
      </w:r>
    </w:p>
  </w:endnote>
  <w:endnote w:id="23">
    <w:p w:rsidR="0084536A" w:rsidRPr="000B76FE" w:rsidRDefault="0084536A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Tour might </w:t>
      </w:r>
      <w:r w:rsidR="00AA3887" w:rsidRPr="000B76FE">
        <w:rPr>
          <w:sz w:val="22"/>
        </w:rPr>
        <w:t>include</w:t>
      </w:r>
      <w:r w:rsidRPr="000B76FE">
        <w:rPr>
          <w:sz w:val="22"/>
        </w:rPr>
        <w:t xml:space="preserve"> where to find bathrooms, supplies, equipment, mailboxes (incoming &amp; outgoing), kitchen equipment, copiers, printers, stairs, elevators, entrances, emergency exits, etc.  Also building hours, access codes; where to hang coats; how to adjust temperature</w:t>
      </w:r>
    </w:p>
  </w:endnote>
  <w:endnote w:id="24">
    <w:p w:rsidR="00B37888" w:rsidRPr="000B76FE" w:rsidRDefault="00B37888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Local IT orientation might include websites, intranet, standard programs, folder structure, security protocols</w:t>
      </w:r>
    </w:p>
  </w:endnote>
  <w:endnote w:id="25">
    <w:p w:rsidR="0084536A" w:rsidRPr="000B76FE" w:rsidRDefault="0084536A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Administrative and financial procedures might include: Time off requests; time sheets; vacation tracking; emergency closings; fire/emergency protocol; IT security; ordering materials, books, memberships; travel requests; training; reimbursement procedures; etc. (ideally also let them know where to find this info in writing)</w:t>
      </w:r>
    </w:p>
  </w:endnote>
  <w:endnote w:id="26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For example, pe</w:t>
      </w:r>
      <w:r w:rsidR="0029618B">
        <w:rPr>
          <w:sz w:val="22"/>
        </w:rPr>
        <w:t>rson &amp; directory searches,</w:t>
      </w:r>
      <w:r w:rsidRPr="000B76FE">
        <w:rPr>
          <w:sz w:val="22"/>
        </w:rPr>
        <w:t xml:space="preserve"> events calendar</w:t>
      </w:r>
    </w:p>
  </w:endnote>
  <w:endnote w:id="27">
    <w:p w:rsidR="00B37888" w:rsidRPr="000B76FE" w:rsidRDefault="00B37888" w:rsidP="00B37888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Perks &amp; benefits are partially covered at New Hire Orientation, but could be supp</w:t>
      </w:r>
      <w:r w:rsidR="0029618B">
        <w:rPr>
          <w:sz w:val="22"/>
        </w:rPr>
        <w:t>lemented with Onboarding</w:t>
      </w:r>
      <w:r w:rsidRPr="000B76FE">
        <w:rPr>
          <w:sz w:val="22"/>
        </w:rPr>
        <w:t xml:space="preserve"> and/or conversations tailored to the person's unique needs &amp; interests</w:t>
      </w:r>
    </w:p>
  </w:endnote>
  <w:endnote w:id="28">
    <w:p w:rsidR="00DA68ED" w:rsidRPr="000B76FE" w:rsidRDefault="00DA68ED">
      <w:pPr>
        <w:pStyle w:val="EndnoteText"/>
        <w:rPr>
          <w:sz w:val="22"/>
        </w:rPr>
      </w:pPr>
      <w:r w:rsidRPr="000B76FE">
        <w:rPr>
          <w:rStyle w:val="EndnoteReference"/>
          <w:sz w:val="22"/>
        </w:rPr>
        <w:endnoteRef/>
      </w:r>
      <w:r w:rsidRPr="000B76FE">
        <w:rPr>
          <w:sz w:val="22"/>
        </w:rPr>
        <w:t xml:space="preserve"> Could include certif</w:t>
      </w:r>
      <w:r w:rsidR="0029618B">
        <w:rPr>
          <w:sz w:val="22"/>
        </w:rPr>
        <w:t>icates, Outlook account</w:t>
      </w:r>
      <w:r w:rsidRPr="000B76FE">
        <w:rPr>
          <w:sz w:val="22"/>
        </w:rPr>
        <w:t>, shortcuts, signatures, standard templates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69" w:rsidRDefault="00FF6F69" w:rsidP="00DA685C">
      <w:pPr>
        <w:spacing w:after="0" w:line="240" w:lineRule="auto"/>
      </w:pPr>
      <w:r>
        <w:separator/>
      </w:r>
    </w:p>
  </w:footnote>
  <w:footnote w:type="continuationSeparator" w:id="0">
    <w:p w:rsidR="00FF6F69" w:rsidRDefault="00FF6F69" w:rsidP="00DA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34266"/>
    <w:multiLevelType w:val="hybridMultilevel"/>
    <w:tmpl w:val="2304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B"/>
    <w:rsid w:val="000B0AEF"/>
    <w:rsid w:val="000B76FE"/>
    <w:rsid w:val="001714ED"/>
    <w:rsid w:val="0018374B"/>
    <w:rsid w:val="002630C7"/>
    <w:rsid w:val="0029618B"/>
    <w:rsid w:val="003530E6"/>
    <w:rsid w:val="00426558"/>
    <w:rsid w:val="004343B0"/>
    <w:rsid w:val="004A1C7E"/>
    <w:rsid w:val="006A7D8C"/>
    <w:rsid w:val="0084536A"/>
    <w:rsid w:val="008B12A2"/>
    <w:rsid w:val="00AA3887"/>
    <w:rsid w:val="00B37888"/>
    <w:rsid w:val="00C932F9"/>
    <w:rsid w:val="00CE4996"/>
    <w:rsid w:val="00DA685C"/>
    <w:rsid w:val="00DA68ED"/>
    <w:rsid w:val="00EB19AB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0E3"/>
  <w15:docId w15:val="{3485402B-273F-459A-8194-5C362EF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8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8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8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8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6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13298-37CD-4070-80CA-3AB94A0FA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54CC1-DF0C-42AF-9562-1920934A408F}"/>
</file>

<file path=customXml/itemProps3.xml><?xml version="1.0" encoding="utf-8"?>
<ds:datastoreItem xmlns:ds="http://schemas.openxmlformats.org/officeDocument/2006/customXml" ds:itemID="{6FBEE30E-BF7A-4404-8137-4CFD3291366B}"/>
</file>

<file path=customXml/itemProps4.xml><?xml version="1.0" encoding="utf-8"?>
<ds:datastoreItem xmlns:ds="http://schemas.openxmlformats.org/officeDocument/2006/customXml" ds:itemID="{AD5B74DD-48ED-4855-845E-97EED9769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 Lafleur</dc:creator>
  <cp:lastModifiedBy>Hamilton, Krista (CHS-PH)</cp:lastModifiedBy>
  <cp:revision>5</cp:revision>
  <dcterms:created xsi:type="dcterms:W3CDTF">2018-09-12T19:02:00Z</dcterms:created>
  <dcterms:modified xsi:type="dcterms:W3CDTF">2018-09-24T14:04:00Z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0x0101005237C7B3376F484897453AE87623AFEE</vt:lpwstr>
  </property>
</Properties>
</file>