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61B" w:rsidRDefault="00C0061B" w:rsidP="00C0061B">
      <w:pPr>
        <w:pStyle w:val="BodyText"/>
      </w:pPr>
      <w:r>
        <w:t>State of Kentucky</w:t>
      </w:r>
    </w:p>
    <w:p w:rsidR="00C0061B" w:rsidRDefault="00C0061B" w:rsidP="00C0061B">
      <w:pPr>
        <w:pStyle w:val="BodyText"/>
      </w:pPr>
      <w:r>
        <w:t>Child Abuse and Prevention Treatment Act</w:t>
      </w:r>
    </w:p>
    <w:p w:rsidR="00C0061B" w:rsidRDefault="00C0061B" w:rsidP="00C0061B">
      <w:pPr>
        <w:pStyle w:val="BodyText"/>
      </w:pPr>
      <w:r>
        <w:t>State Plan, June 2011</w:t>
      </w:r>
    </w:p>
    <w:p w:rsidR="00C0061B" w:rsidRDefault="00C0061B" w:rsidP="00C0061B">
      <w:pPr>
        <w:pStyle w:val="Heading1"/>
        <w:rPr>
          <w:rFonts w:cs="Arial"/>
          <w:szCs w:val="24"/>
        </w:rPr>
      </w:pPr>
    </w:p>
    <w:p w:rsidR="00C0061B" w:rsidRPr="00AD5B14" w:rsidRDefault="00C0061B" w:rsidP="00A07C6A">
      <w:pPr>
        <w:pStyle w:val="Heading1"/>
        <w:numPr>
          <w:ilvl w:val="0"/>
          <w:numId w:val="1"/>
        </w:numPr>
        <w:ind w:left="180" w:hanging="180"/>
        <w:rPr>
          <w:rFonts w:cs="Arial"/>
          <w:szCs w:val="24"/>
        </w:rPr>
      </w:pPr>
      <w:r w:rsidRPr="00AD5B14">
        <w:rPr>
          <w:rFonts w:cs="Arial"/>
          <w:szCs w:val="24"/>
        </w:rPr>
        <w:t>Introduction</w:t>
      </w:r>
    </w:p>
    <w:p w:rsidR="00C0061B" w:rsidRPr="00676529" w:rsidRDefault="00C0061B" w:rsidP="00C0061B"/>
    <w:p w:rsidR="00C0061B" w:rsidRDefault="00C0061B" w:rsidP="00C0061B">
      <w:pPr>
        <w:rPr>
          <w:rFonts w:cs="Arial"/>
        </w:rPr>
      </w:pPr>
      <w:r w:rsidRPr="00C167A6">
        <w:rPr>
          <w:rFonts w:cs="Arial"/>
        </w:rPr>
        <w:t>The Cabinet</w:t>
      </w:r>
      <w:r>
        <w:rPr>
          <w:rFonts w:cs="Arial"/>
        </w:rPr>
        <w:t xml:space="preserve"> for Health and Family Services</w:t>
      </w:r>
      <w:r w:rsidRPr="00C167A6">
        <w:rPr>
          <w:rFonts w:cs="Arial"/>
        </w:rPr>
        <w:t>, Department for Co</w:t>
      </w:r>
      <w:r>
        <w:rPr>
          <w:rFonts w:cs="Arial"/>
        </w:rPr>
        <w:t xml:space="preserve">mmunity Based Services </w:t>
      </w:r>
      <w:r w:rsidRPr="00C167A6">
        <w:rPr>
          <w:rFonts w:cs="Arial"/>
        </w:rPr>
        <w:t>(</w:t>
      </w:r>
      <w:r>
        <w:rPr>
          <w:rFonts w:cs="Arial"/>
        </w:rPr>
        <w:t>d</w:t>
      </w:r>
      <w:r w:rsidRPr="00C167A6">
        <w:rPr>
          <w:rFonts w:cs="Arial"/>
        </w:rPr>
        <w:t xml:space="preserve">epartment) presents the </w:t>
      </w:r>
      <w:r>
        <w:rPr>
          <w:rFonts w:cs="Arial"/>
        </w:rPr>
        <w:t xml:space="preserve">state’s Child Abuse and Prevention Treatment Act state plan.  </w:t>
      </w:r>
      <w:r w:rsidRPr="00C167A6">
        <w:rPr>
          <w:rFonts w:cs="Arial"/>
        </w:rPr>
        <w:t xml:space="preserve">The </w:t>
      </w:r>
      <w:r>
        <w:rPr>
          <w:rFonts w:cs="Arial"/>
        </w:rPr>
        <w:t>department is</w:t>
      </w:r>
      <w:r w:rsidRPr="00C167A6">
        <w:rPr>
          <w:rFonts w:cs="Arial"/>
        </w:rPr>
        <w:t xml:space="preserve"> the entit</w:t>
      </w:r>
      <w:r>
        <w:rPr>
          <w:rFonts w:cs="Arial"/>
        </w:rPr>
        <w:t>y</w:t>
      </w:r>
      <w:r w:rsidRPr="00C167A6">
        <w:rPr>
          <w:rFonts w:cs="Arial"/>
        </w:rPr>
        <w:t xml:space="preserve"> responsible for administering the </w:t>
      </w:r>
      <w:r>
        <w:rPr>
          <w:rFonts w:cs="Arial"/>
        </w:rPr>
        <w:t>s</w:t>
      </w:r>
      <w:r w:rsidRPr="00C167A6">
        <w:rPr>
          <w:rFonts w:cs="Arial"/>
        </w:rPr>
        <w:t xml:space="preserve">tate’s statutes and regulations relating to child welfare.  </w:t>
      </w:r>
      <w:r>
        <w:rPr>
          <w:rFonts w:cs="Arial"/>
        </w:rPr>
        <w:t xml:space="preserve">The report was completed per program instructions </w:t>
      </w:r>
      <w:r w:rsidRPr="00E7720B">
        <w:rPr>
          <w:rFonts w:cs="Arial"/>
        </w:rPr>
        <w:t>ACYF-CB-PI-11-06</w:t>
      </w:r>
      <w:r w:rsidR="004A60A7">
        <w:rPr>
          <w:rFonts w:cs="Arial"/>
        </w:rPr>
        <w:t xml:space="preserve">.  </w:t>
      </w:r>
      <w:r w:rsidRPr="00687DE3">
        <w:rPr>
          <w:rFonts w:cs="Arial"/>
        </w:rPr>
        <w:t xml:space="preserve">The Child Abuse Prevention and Treatment Act (CAPTA), as </w:t>
      </w:r>
      <w:r w:rsidR="004A60A7">
        <w:rPr>
          <w:rFonts w:cs="Arial"/>
        </w:rPr>
        <w:t>reauthorized</w:t>
      </w:r>
      <w:r w:rsidRPr="00687DE3">
        <w:rPr>
          <w:rFonts w:cs="Arial"/>
        </w:rPr>
        <w:t xml:space="preserve">, requires States to </w:t>
      </w:r>
      <w:r w:rsidR="004A60A7">
        <w:rPr>
          <w:rFonts w:cs="Arial"/>
        </w:rPr>
        <w:t xml:space="preserve">submit a new state plan to remain in effect for the duration of the state’s participation in the grant program, with provisions to periodically review and submit substantive changes as appropriate.  </w:t>
      </w:r>
      <w:r w:rsidRPr="00687DE3">
        <w:rPr>
          <w:rFonts w:cs="Arial"/>
        </w:rPr>
        <w:t xml:space="preserve">This section outlines Kentucky's eligibility, chosen purposes and related justification, and discussion of past and prospective tasks within the CFSP.  </w:t>
      </w:r>
      <w:r w:rsidR="003428B9">
        <w:rPr>
          <w:rFonts w:cs="Arial"/>
        </w:rPr>
        <w:t>(</w:t>
      </w:r>
      <w:r w:rsidR="003428B9" w:rsidRPr="003E576C">
        <w:rPr>
          <w:rFonts w:cs="Arial"/>
        </w:rPr>
        <w:t>See Attachment 1 for the CAPTA assurance.)</w:t>
      </w:r>
    </w:p>
    <w:p w:rsidR="004F4969" w:rsidRPr="00687DE3" w:rsidRDefault="004F4969" w:rsidP="00C0061B">
      <w:pPr>
        <w:rPr>
          <w:rFonts w:cs="Arial"/>
        </w:rPr>
      </w:pPr>
    </w:p>
    <w:p w:rsidR="00C0061B" w:rsidRDefault="00C0061B" w:rsidP="00C0061B">
      <w:pPr>
        <w:rPr>
          <w:rFonts w:cs="Arial"/>
        </w:rPr>
      </w:pPr>
    </w:p>
    <w:p w:rsidR="00C0061B" w:rsidRPr="00687DE3" w:rsidRDefault="00C0061B" w:rsidP="00A07C6A">
      <w:pPr>
        <w:pStyle w:val="Heading1"/>
        <w:numPr>
          <w:ilvl w:val="0"/>
          <w:numId w:val="1"/>
        </w:numPr>
        <w:ind w:left="180" w:hanging="180"/>
      </w:pPr>
      <w:r w:rsidRPr="00687DE3">
        <w:t>State Eligibility</w:t>
      </w:r>
      <w:r w:rsidR="00385086">
        <w:t>, Notice of Significant Changes in the State’s Plan, Notice of Significant Changes to State Law or Regulations Pertaining to Child Welfare Services or Treatment.</w:t>
      </w:r>
    </w:p>
    <w:p w:rsidR="00A07C6A" w:rsidRDefault="00A07C6A" w:rsidP="00C0061B">
      <w:pPr>
        <w:rPr>
          <w:rFonts w:cs="Arial"/>
        </w:rPr>
      </w:pPr>
    </w:p>
    <w:p w:rsidR="00C0061B" w:rsidRDefault="00C0061B" w:rsidP="00C0061B">
      <w:pPr>
        <w:rPr>
          <w:rFonts w:cs="Arial"/>
        </w:rPr>
      </w:pPr>
      <w:smartTag w:uri="urn:schemas-microsoft-com:office:smarttags" w:element="State">
        <w:smartTag w:uri="urn:schemas-microsoft-com:office:smarttags" w:element="place">
          <w:r w:rsidRPr="00687DE3">
            <w:rPr>
              <w:rFonts w:cs="Arial"/>
            </w:rPr>
            <w:t>Kentucky</w:t>
          </w:r>
        </w:smartTag>
      </w:smartTag>
      <w:r w:rsidRPr="00687DE3">
        <w:rPr>
          <w:rFonts w:cs="Arial"/>
        </w:rPr>
        <w:t xml:space="preserve"> maintains eligibility and compliance with the CAPTA assurances.  </w:t>
      </w:r>
      <w:r w:rsidR="009E210A">
        <w:rPr>
          <w:rFonts w:cs="Arial"/>
        </w:rPr>
        <w:t>This submission of the state’s CAPTA plan does not have any significant changes from the state’s previously approved plan.  The state has</w:t>
      </w:r>
      <w:r w:rsidR="00A07C6A">
        <w:rPr>
          <w:rFonts w:cs="Arial"/>
        </w:rPr>
        <w:t xml:space="preserve"> not ha</w:t>
      </w:r>
      <w:r w:rsidR="009E210A">
        <w:rPr>
          <w:rFonts w:cs="Arial"/>
        </w:rPr>
        <w:t>d substantive changes to state law or regulations pertaining to child welfare services and treatment</w:t>
      </w:r>
      <w:r w:rsidR="00A07C6A">
        <w:rPr>
          <w:rFonts w:cs="Arial"/>
        </w:rPr>
        <w:t xml:space="preserve"> that would </w:t>
      </w:r>
      <w:r w:rsidR="009E210A">
        <w:rPr>
          <w:rFonts w:cs="Arial"/>
        </w:rPr>
        <w:t xml:space="preserve">affect the state’s eligibility for the CAPTA state grant. </w:t>
      </w:r>
    </w:p>
    <w:p w:rsidR="009E210A" w:rsidRDefault="009E210A" w:rsidP="00C0061B">
      <w:pPr>
        <w:rPr>
          <w:rFonts w:cs="Arial"/>
          <w:u w:val="single"/>
        </w:rPr>
      </w:pPr>
    </w:p>
    <w:p w:rsidR="004F4969" w:rsidRDefault="004F4969" w:rsidP="00C0061B">
      <w:pPr>
        <w:rPr>
          <w:rFonts w:cs="Arial"/>
          <w:u w:val="single"/>
        </w:rPr>
      </w:pPr>
    </w:p>
    <w:p w:rsidR="00C0061B" w:rsidRPr="00AA4976" w:rsidRDefault="00C0061B" w:rsidP="00A07C6A">
      <w:pPr>
        <w:pStyle w:val="Heading1"/>
        <w:numPr>
          <w:ilvl w:val="0"/>
          <w:numId w:val="1"/>
        </w:numPr>
        <w:ind w:left="180" w:hanging="180"/>
      </w:pPr>
      <w:r w:rsidRPr="00AA4976">
        <w:t xml:space="preserve">Selected Program Areas for Improvement (from the fourteen areas delineated in section 106(a)(1) through (14) of CAPTA or 42 </w:t>
      </w:r>
      <w:smartTag w:uri="urn:schemas-microsoft-com:office:smarttags" w:element="stockticker">
        <w:r w:rsidRPr="00AA4976">
          <w:t>USC</w:t>
        </w:r>
      </w:smartTag>
      <w:r w:rsidRPr="00AA4976">
        <w:t xml:space="preserve"> 5106a)</w:t>
      </w:r>
    </w:p>
    <w:p w:rsidR="00C0061B" w:rsidRDefault="00C0061B" w:rsidP="00C0061B">
      <w:pPr>
        <w:rPr>
          <w:rFonts w:cs="Arial"/>
          <w:i/>
        </w:rPr>
      </w:pPr>
    </w:p>
    <w:p w:rsidR="00C0061B" w:rsidRPr="00AA4976" w:rsidRDefault="00C0061B" w:rsidP="00C0061B">
      <w:pPr>
        <w:numPr>
          <w:ilvl w:val="0"/>
          <w:numId w:val="6"/>
        </w:numPr>
        <w:rPr>
          <w:rFonts w:cs="Arial"/>
        </w:rPr>
      </w:pPr>
      <w:r w:rsidRPr="00AA4976">
        <w:rPr>
          <w:rFonts w:cs="Arial"/>
        </w:rPr>
        <w:t>Purpose 2</w:t>
      </w:r>
      <w:r>
        <w:rPr>
          <w:rFonts w:cs="Arial"/>
        </w:rPr>
        <w:t>: …</w:t>
      </w:r>
      <w:r w:rsidR="006E54BE">
        <w:rPr>
          <w:rFonts w:cs="Arial"/>
        </w:rPr>
        <w:t>I</w:t>
      </w:r>
      <w:r w:rsidRPr="00AA4976">
        <w:rPr>
          <w:rFonts w:cs="Arial"/>
        </w:rPr>
        <w:t>mproving legal preparation and representation, including- (</w:t>
      </w:r>
      <w:proofErr w:type="spellStart"/>
      <w:r w:rsidRPr="00AA4976">
        <w:rPr>
          <w:rFonts w:cs="Arial"/>
        </w:rPr>
        <w:t>i</w:t>
      </w:r>
      <w:proofErr w:type="spellEnd"/>
      <w:r w:rsidRPr="00AA4976">
        <w:rPr>
          <w:rFonts w:cs="Arial"/>
        </w:rPr>
        <w:t>) procedures for appealing and responding to appeals of substantiated reports of abuse and neglect; and (ii) provisions for the appointment of an individual appointed to represent a child in judicial proceedings;</w:t>
      </w:r>
    </w:p>
    <w:p w:rsidR="00C0061B" w:rsidRPr="00AA4976" w:rsidRDefault="00C0061B" w:rsidP="00C0061B">
      <w:pPr>
        <w:numPr>
          <w:ilvl w:val="0"/>
          <w:numId w:val="6"/>
        </w:numPr>
        <w:rPr>
          <w:rFonts w:cs="Arial"/>
        </w:rPr>
      </w:pPr>
      <w:r w:rsidRPr="00AA4976">
        <w:rPr>
          <w:rFonts w:cs="Arial"/>
        </w:rPr>
        <w:t>Purpose 4</w:t>
      </w:r>
      <w:r>
        <w:rPr>
          <w:rFonts w:cs="Arial"/>
        </w:rPr>
        <w:t xml:space="preserve">: </w:t>
      </w:r>
      <w:r w:rsidRPr="00AA4976">
        <w:rPr>
          <w:rFonts w:cs="Arial"/>
        </w:rPr>
        <w:t xml:space="preserve"> Enhancing the general child protective system by developing, improving, and implementing risk and safety assessment tools and protocols;</w:t>
      </w:r>
    </w:p>
    <w:p w:rsidR="00C0061B" w:rsidRPr="00AA4976" w:rsidRDefault="00C0061B" w:rsidP="00C0061B">
      <w:pPr>
        <w:numPr>
          <w:ilvl w:val="0"/>
          <w:numId w:val="6"/>
        </w:numPr>
        <w:rPr>
          <w:rFonts w:cs="Arial"/>
        </w:rPr>
      </w:pPr>
      <w:r w:rsidRPr="00AA4976">
        <w:rPr>
          <w:rFonts w:cs="Arial"/>
        </w:rPr>
        <w:t>Purpose 6</w:t>
      </w:r>
      <w:r>
        <w:rPr>
          <w:rFonts w:cs="Arial"/>
        </w:rPr>
        <w:t xml:space="preserve">: </w:t>
      </w:r>
      <w:r w:rsidRPr="00AA4976">
        <w:rPr>
          <w:rFonts w:cs="Arial"/>
        </w:rPr>
        <w:t xml:space="preserve"> Developing, strengthening, and facilitating training including—(A) training regarding research-based strategies to promote collaboration with the families; (B) training regarding the legal duties of such individuals; and (C) personal safety training for case workers;</w:t>
      </w:r>
    </w:p>
    <w:p w:rsidR="00C0061B" w:rsidRDefault="00C0061B" w:rsidP="00C0061B">
      <w:pPr>
        <w:numPr>
          <w:ilvl w:val="0"/>
          <w:numId w:val="6"/>
        </w:numPr>
        <w:rPr>
          <w:rFonts w:cs="Arial"/>
        </w:rPr>
      </w:pPr>
      <w:r w:rsidRPr="00AA4976">
        <w:rPr>
          <w:rFonts w:cs="Arial"/>
        </w:rPr>
        <w:t>Purpose 14</w:t>
      </w:r>
      <w:r>
        <w:rPr>
          <w:rFonts w:cs="Arial"/>
        </w:rPr>
        <w:t>:</w:t>
      </w:r>
      <w:r w:rsidRPr="00AA4976">
        <w:rPr>
          <w:rFonts w:cs="Arial"/>
        </w:rPr>
        <w:t xml:space="preserve"> </w:t>
      </w:r>
      <w:r>
        <w:rPr>
          <w:rFonts w:cs="Arial"/>
        </w:rPr>
        <w:t xml:space="preserve"> </w:t>
      </w:r>
      <w:r w:rsidRPr="00AA4976">
        <w:rPr>
          <w:rFonts w:cs="Arial"/>
        </w:rPr>
        <w:t>Supporting and enhancing collaboration among public health agencies, the child protective system, and private community-based programs to provide child abuse and neglect prevention and treatment services (including linkages with education system) and to address the health needs, including mental health needs, of children identified as abused or neglected, including supporting prompt, comprehensive health and developmental evaluations for children who are the subject of substantiated child maltreatment reports.</w:t>
      </w:r>
    </w:p>
    <w:p w:rsidR="004F4969" w:rsidRPr="00AA4976" w:rsidRDefault="004F4969" w:rsidP="004F4969">
      <w:pPr>
        <w:ind w:left="360"/>
        <w:rPr>
          <w:rFonts w:cs="Arial"/>
        </w:rPr>
      </w:pPr>
    </w:p>
    <w:p w:rsidR="00C0061B" w:rsidRDefault="00C0061B" w:rsidP="00C0061B">
      <w:pPr>
        <w:rPr>
          <w:rFonts w:cs="Arial"/>
          <w:i/>
        </w:rPr>
      </w:pPr>
    </w:p>
    <w:p w:rsidR="00C0061B" w:rsidRPr="00385086" w:rsidRDefault="00C0061B" w:rsidP="00A07C6A">
      <w:pPr>
        <w:pStyle w:val="Heading1"/>
        <w:numPr>
          <w:ilvl w:val="0"/>
          <w:numId w:val="1"/>
        </w:numPr>
        <w:ind w:left="180" w:hanging="180"/>
      </w:pPr>
      <w:r w:rsidRPr="00385086">
        <w:t>Activities, Services, and Training to Be Funded (in Whole or Part) Under CAPTA:</w:t>
      </w:r>
    </w:p>
    <w:p w:rsidR="00C0061B" w:rsidRDefault="00C0061B" w:rsidP="00C0061B">
      <w:pPr>
        <w:pStyle w:val="Header"/>
        <w:tabs>
          <w:tab w:val="clear" w:pos="4320"/>
          <w:tab w:val="clear" w:pos="8640"/>
        </w:tabs>
        <w:ind w:right="-180"/>
      </w:pPr>
    </w:p>
    <w:p w:rsidR="00C0061B" w:rsidRPr="009E210A" w:rsidRDefault="00C0061B" w:rsidP="00C0061B">
      <w:pPr>
        <w:pStyle w:val="Header"/>
        <w:tabs>
          <w:tab w:val="clear" w:pos="4320"/>
          <w:tab w:val="clear" w:pos="8640"/>
        </w:tabs>
        <w:ind w:right="-180"/>
        <w:jc w:val="center"/>
        <w:rPr>
          <w:sz w:val="22"/>
          <w:szCs w:val="22"/>
          <w:u w:val="single"/>
        </w:rPr>
      </w:pPr>
      <w:r w:rsidRPr="009E210A">
        <w:rPr>
          <w:sz w:val="22"/>
          <w:szCs w:val="22"/>
          <w:u w:val="single"/>
        </w:rPr>
        <w:t xml:space="preserve">The University of Kentucky Comprehensive Assessment and </w:t>
      </w:r>
    </w:p>
    <w:p w:rsidR="00C0061B" w:rsidRPr="009E210A" w:rsidRDefault="00C0061B" w:rsidP="00C0061B">
      <w:pPr>
        <w:pStyle w:val="Header"/>
        <w:tabs>
          <w:tab w:val="clear" w:pos="4320"/>
          <w:tab w:val="clear" w:pos="8640"/>
        </w:tabs>
        <w:ind w:right="-180"/>
        <w:jc w:val="center"/>
        <w:rPr>
          <w:sz w:val="22"/>
          <w:szCs w:val="22"/>
          <w:u w:val="single"/>
        </w:rPr>
      </w:pPr>
      <w:r w:rsidRPr="009E210A">
        <w:rPr>
          <w:sz w:val="22"/>
          <w:szCs w:val="22"/>
          <w:u w:val="single"/>
        </w:rPr>
        <w:t>Training Services (</w:t>
      </w:r>
      <w:smartTag w:uri="urn:schemas-microsoft-com:office:smarttags" w:element="stockticker">
        <w:r w:rsidRPr="009E210A">
          <w:rPr>
            <w:sz w:val="22"/>
            <w:szCs w:val="22"/>
            <w:u w:val="single"/>
          </w:rPr>
          <w:t>CATS</w:t>
        </w:r>
      </w:smartTag>
      <w:r w:rsidRPr="009E210A">
        <w:rPr>
          <w:sz w:val="22"/>
          <w:szCs w:val="22"/>
          <w:u w:val="single"/>
        </w:rPr>
        <w:t>) Project (purposes 4 and 14)</w:t>
      </w:r>
    </w:p>
    <w:p w:rsidR="00C0061B" w:rsidRPr="009E210A" w:rsidRDefault="00C0061B" w:rsidP="00C0061B">
      <w:pPr>
        <w:pStyle w:val="Header"/>
        <w:tabs>
          <w:tab w:val="clear" w:pos="4320"/>
          <w:tab w:val="clear" w:pos="8640"/>
        </w:tabs>
        <w:ind w:right="-180"/>
        <w:rPr>
          <w:sz w:val="22"/>
          <w:szCs w:val="22"/>
        </w:rPr>
      </w:pPr>
      <w:r w:rsidRPr="009E210A">
        <w:rPr>
          <w:sz w:val="22"/>
          <w:szCs w:val="22"/>
        </w:rPr>
        <w:t>The University of Kentucky Comprehensive Assessment and Training Services (</w:t>
      </w:r>
      <w:smartTag w:uri="urn:schemas-microsoft-com:office:smarttags" w:element="stockticker">
        <w:r w:rsidRPr="009E210A">
          <w:rPr>
            <w:sz w:val="22"/>
            <w:szCs w:val="22"/>
          </w:rPr>
          <w:t>CATS</w:t>
        </w:r>
      </w:smartTag>
      <w:r w:rsidRPr="009E210A">
        <w:rPr>
          <w:sz w:val="22"/>
          <w:szCs w:val="22"/>
        </w:rPr>
        <w:t xml:space="preserve">) Project, developed in 1999, provides multi-dimensional, comprehensive, proactive assessments of children and families identified by DCBS.  This assessment provides a “snapshot” of the child and family strengths and vulnerabilities within five (5) major domains: 1) Family/social; 2) Emotional/behavioral; 3) Attachment; 4) Life history/traumatic events; and 5) Developmental/cognitive/academic.  For each of these five (5) domains, quantitative and qualitative data are gathered using developmentally appropriate measures.  The children that are targeted for this project are from birth to three (3) years old, are in concurrent, pre-adoptive or post adoptive homes, and were exhibiting evidence of attachment difficulties.  The </w:t>
      </w:r>
      <w:r w:rsidR="006E54BE">
        <w:rPr>
          <w:sz w:val="22"/>
          <w:szCs w:val="22"/>
        </w:rPr>
        <w:t>information is</w:t>
      </w:r>
      <w:r w:rsidRPr="009E210A">
        <w:rPr>
          <w:sz w:val="22"/>
          <w:szCs w:val="22"/>
        </w:rPr>
        <w:t xml:space="preserve"> used by Cabinet for Health and Family Services (CHFS) personnel to more effectively negotiate and implement a case plan that includes family and individual level objectives that will address safety </w:t>
      </w:r>
      <w:r w:rsidR="004556AD">
        <w:rPr>
          <w:sz w:val="22"/>
          <w:szCs w:val="22"/>
        </w:rPr>
        <w:t xml:space="preserve">and permanency </w:t>
      </w:r>
      <w:r w:rsidRPr="009E210A">
        <w:rPr>
          <w:sz w:val="22"/>
          <w:szCs w:val="22"/>
        </w:rPr>
        <w:t xml:space="preserve">issues for children.  Obstacles to safe and effective parenting are more likely to be removed or treated if identified through a comprehensive assessment.  Also, through this comprehensive assessment, guided interventions can be developed to prevent out of home placements for children or more timely reunification in the cases where a removal has occurred.  The </w:t>
      </w:r>
      <w:smartTag w:uri="urn:schemas-microsoft-com:office:smarttags" w:element="stockticker">
        <w:r w:rsidRPr="009E210A">
          <w:rPr>
            <w:sz w:val="22"/>
            <w:szCs w:val="22"/>
          </w:rPr>
          <w:t>CATS</w:t>
        </w:r>
      </w:smartTag>
      <w:r w:rsidRPr="009E210A">
        <w:rPr>
          <w:sz w:val="22"/>
          <w:szCs w:val="22"/>
        </w:rPr>
        <w:t xml:space="preserve"> report is a valuable tool available to assist personnel in expediting permanency for children.  </w:t>
      </w:r>
      <w:smartTag w:uri="urn:schemas-microsoft-com:office:smarttags" w:element="stockticker">
        <w:r w:rsidRPr="009E210A">
          <w:rPr>
            <w:sz w:val="22"/>
            <w:szCs w:val="22"/>
          </w:rPr>
          <w:t>CATS</w:t>
        </w:r>
      </w:smartTag>
      <w:r w:rsidRPr="009E210A">
        <w:rPr>
          <w:sz w:val="22"/>
          <w:szCs w:val="22"/>
        </w:rPr>
        <w:t xml:space="preserve">’ personnel frequently provide testimony in termination of parental rights cases.  The </w:t>
      </w:r>
      <w:smartTag w:uri="urn:schemas-microsoft-com:office:smarttags" w:element="stockticker">
        <w:r w:rsidRPr="009E210A">
          <w:rPr>
            <w:sz w:val="22"/>
            <w:szCs w:val="22"/>
          </w:rPr>
          <w:t>CATS</w:t>
        </w:r>
      </w:smartTag>
      <w:r w:rsidRPr="009E210A">
        <w:rPr>
          <w:sz w:val="22"/>
          <w:szCs w:val="22"/>
        </w:rPr>
        <w:t xml:space="preserve"> project also helps to enhance a child’s well being by increasing the likelihood that a child will receive treatment for medical, behavioral, and mental health issues that have been identified.</w:t>
      </w:r>
    </w:p>
    <w:p w:rsidR="00C0061B" w:rsidRPr="009E210A" w:rsidRDefault="00C0061B" w:rsidP="00C0061B">
      <w:pPr>
        <w:pStyle w:val="Header"/>
        <w:tabs>
          <w:tab w:val="clear" w:pos="4320"/>
          <w:tab w:val="clear" w:pos="8640"/>
        </w:tabs>
        <w:rPr>
          <w:sz w:val="22"/>
          <w:szCs w:val="22"/>
        </w:rPr>
      </w:pPr>
    </w:p>
    <w:p w:rsidR="00C0061B" w:rsidRPr="009E210A" w:rsidRDefault="00C0061B" w:rsidP="00C0061B">
      <w:pPr>
        <w:pStyle w:val="Header"/>
        <w:tabs>
          <w:tab w:val="clear" w:pos="4320"/>
          <w:tab w:val="clear" w:pos="8640"/>
        </w:tabs>
        <w:rPr>
          <w:sz w:val="22"/>
          <w:szCs w:val="22"/>
        </w:rPr>
      </w:pPr>
      <w:r w:rsidRPr="009E210A">
        <w:rPr>
          <w:sz w:val="22"/>
          <w:szCs w:val="22"/>
        </w:rPr>
        <w:t xml:space="preserve">The </w:t>
      </w:r>
      <w:smartTag w:uri="urn:schemas-microsoft-com:office:smarttags" w:element="stockticker">
        <w:r w:rsidRPr="009E210A">
          <w:rPr>
            <w:sz w:val="22"/>
            <w:szCs w:val="22"/>
          </w:rPr>
          <w:t>CATS</w:t>
        </w:r>
      </w:smartTag>
      <w:r w:rsidRPr="009E210A">
        <w:rPr>
          <w:sz w:val="22"/>
          <w:szCs w:val="22"/>
        </w:rPr>
        <w:t xml:space="preserve"> project requests (and often receives) treatment and interventions summaries from many community health, mental health and social service agencies.  The results of these interventions are often summarized in the </w:t>
      </w:r>
      <w:smartTag w:uri="urn:schemas-microsoft-com:office:smarttags" w:element="stockticker">
        <w:r w:rsidRPr="009E210A">
          <w:rPr>
            <w:sz w:val="22"/>
            <w:szCs w:val="22"/>
          </w:rPr>
          <w:t>CATS</w:t>
        </w:r>
      </w:smartTag>
      <w:r w:rsidRPr="009E210A">
        <w:rPr>
          <w:sz w:val="22"/>
          <w:szCs w:val="22"/>
        </w:rPr>
        <w:t xml:space="preserve"> report in order to provide an accurate overview of the child and families in regard to strengths, community resource utilizations and in order to determine and assess on-going risk for repeat child maltreatment.  At times, collateral interviews are conducted with community partners who have worked with families being assessed.</w:t>
      </w:r>
    </w:p>
    <w:p w:rsidR="00C0061B" w:rsidRPr="009E210A" w:rsidRDefault="00C0061B" w:rsidP="00C0061B"/>
    <w:p w:rsidR="00C0061B" w:rsidRPr="009E210A" w:rsidRDefault="00C0061B" w:rsidP="00C0061B">
      <w:pPr>
        <w:jc w:val="center"/>
        <w:rPr>
          <w:rFonts w:cs="Arial"/>
          <w:u w:val="single"/>
        </w:rPr>
      </w:pPr>
      <w:r w:rsidRPr="009E210A">
        <w:rPr>
          <w:rFonts w:cs="Arial"/>
          <w:u w:val="single"/>
        </w:rPr>
        <w:t xml:space="preserve">Pediatric Forensic Medicine Contract (Purpose 2B </w:t>
      </w:r>
      <w:r w:rsidR="004556AD">
        <w:rPr>
          <w:rFonts w:cs="Arial"/>
          <w:u w:val="single"/>
        </w:rPr>
        <w:t>and</w:t>
      </w:r>
      <w:r w:rsidRPr="009E210A">
        <w:rPr>
          <w:rFonts w:cs="Arial"/>
          <w:u w:val="single"/>
        </w:rPr>
        <w:t xml:space="preserve"> 14)</w:t>
      </w:r>
    </w:p>
    <w:p w:rsidR="00C0061B" w:rsidRPr="009E210A" w:rsidRDefault="00C0061B" w:rsidP="00C0061B">
      <w:pPr>
        <w:rPr>
          <w:rFonts w:cs="Arial"/>
        </w:rPr>
      </w:pPr>
      <w:r w:rsidRPr="009E210A">
        <w:rPr>
          <w:rFonts w:cs="Arial"/>
          <w:color w:val="000000"/>
        </w:rPr>
        <w:t xml:space="preserve">Funds will be used to </w:t>
      </w:r>
      <w:r w:rsidRPr="009E210A">
        <w:rPr>
          <w:rFonts w:cs="Arial"/>
        </w:rPr>
        <w:t>support agency efforts in legal preparation and representation in cases involving child abuse and neglect.  A contract for the provision of pediatric forensic medical consultation will also support collaboration with health providers in child abuse and neglect cases.  Under the contract, the providers will:</w:t>
      </w:r>
    </w:p>
    <w:p w:rsidR="00C0061B" w:rsidRPr="009E210A" w:rsidRDefault="00C0061B" w:rsidP="00C0061B">
      <w:pPr>
        <w:numPr>
          <w:ilvl w:val="0"/>
          <w:numId w:val="7"/>
        </w:numPr>
        <w:rPr>
          <w:rFonts w:cs="Arial"/>
          <w:color w:val="000000"/>
        </w:rPr>
      </w:pPr>
      <w:r w:rsidRPr="009E210A">
        <w:rPr>
          <w:rFonts w:cs="Arial"/>
        </w:rPr>
        <w:t>P</w:t>
      </w:r>
      <w:r w:rsidRPr="009E210A">
        <w:rPr>
          <w:rFonts w:cs="Arial"/>
          <w:color w:val="000000"/>
        </w:rPr>
        <w:t xml:space="preserve">erform consultations/forensic evaluations on children when abuse and neglect reports received by the Cabinet for investigation, and the origin of injuries are not clear, and </w:t>
      </w:r>
    </w:p>
    <w:p w:rsidR="00C0061B" w:rsidRPr="009E210A" w:rsidRDefault="00C0061B" w:rsidP="00C0061B">
      <w:pPr>
        <w:numPr>
          <w:ilvl w:val="0"/>
          <w:numId w:val="7"/>
        </w:numPr>
        <w:rPr>
          <w:rFonts w:cs="Arial"/>
          <w:color w:val="000000"/>
        </w:rPr>
      </w:pPr>
      <w:r w:rsidRPr="009E210A">
        <w:rPr>
          <w:rFonts w:cs="Arial"/>
          <w:color w:val="000000"/>
        </w:rPr>
        <w:t>Provide up to 20 hours of education about recognition of child physical abuse to DCBS staff or affiliated partners at no additional charge.</w:t>
      </w:r>
    </w:p>
    <w:p w:rsidR="00C0061B" w:rsidRPr="009E210A" w:rsidRDefault="00C0061B" w:rsidP="00C0061B">
      <w:pPr>
        <w:rPr>
          <w:rFonts w:cs="Arial"/>
          <w:color w:val="000000"/>
        </w:rPr>
      </w:pPr>
    </w:p>
    <w:p w:rsidR="00C0061B" w:rsidRPr="009E210A" w:rsidRDefault="00C0061B" w:rsidP="00C0061B">
      <w:pPr>
        <w:rPr>
          <w:rFonts w:cs="Arial"/>
          <w:color w:val="000000"/>
        </w:rPr>
      </w:pPr>
      <w:r w:rsidRPr="009E210A">
        <w:rPr>
          <w:rFonts w:cs="Arial"/>
          <w:color w:val="000000"/>
        </w:rPr>
        <w:t>Additionally, an interdisciplinary team, headed by at least one pediatrician with specialized training &amp; experience in child abuse recognition, will be available to consult with DCBS (</w:t>
      </w:r>
      <w:smartTag w:uri="urn:schemas-microsoft-com:office:smarttags" w:element="stockticker">
        <w:r w:rsidRPr="009E210A">
          <w:rPr>
            <w:rFonts w:cs="Arial"/>
            <w:color w:val="000000"/>
          </w:rPr>
          <w:t>CPS</w:t>
        </w:r>
      </w:smartTag>
      <w:r w:rsidRPr="009E210A">
        <w:rPr>
          <w:rFonts w:cs="Arial"/>
          <w:color w:val="000000"/>
        </w:rPr>
        <w:t xml:space="preserve"> staff at the local, regional and/or central office levels).  The team will coordinate with the departments’ regionally based </w:t>
      </w:r>
      <w:r w:rsidRPr="009E210A">
        <w:rPr>
          <w:rFonts w:cs="Arial"/>
        </w:rPr>
        <w:t>Commission for Children with Special Health Care Needs</w:t>
      </w:r>
      <w:r w:rsidRPr="009E210A">
        <w:rPr>
          <w:rFonts w:cs="Arial"/>
          <w:color w:val="000000"/>
        </w:rPr>
        <w:t xml:space="preserve"> nurses.  Those consultations may be brief and include phone consultation; however, a comprehensive evaluation will be provided as required by the child’s needs, including a full forensic examination (which may include photo documentation, addition procedures such as X-rays, CT scans, or eye </w:t>
      </w:r>
      <w:r w:rsidRPr="009E210A">
        <w:rPr>
          <w:rFonts w:cs="Arial"/>
          <w:color w:val="000000"/>
        </w:rPr>
        <w:lastRenderedPageBreak/>
        <w:t>exams).  Contracted providers will produce written medical opinions and documentation of the results of consultations &amp; evaluations.  Contracted providers will produce written documentation of consultations and evaluations within 30 days, and providers will be available for court testimony as needed.</w:t>
      </w:r>
    </w:p>
    <w:p w:rsidR="00C0061B" w:rsidRPr="009E210A" w:rsidRDefault="00C0061B" w:rsidP="00C0061B">
      <w:pPr>
        <w:rPr>
          <w:color w:val="000000"/>
        </w:rPr>
      </w:pPr>
    </w:p>
    <w:p w:rsidR="00C0061B" w:rsidRPr="009E210A" w:rsidRDefault="00C0061B" w:rsidP="00C0061B">
      <w:pPr>
        <w:jc w:val="center"/>
        <w:rPr>
          <w:rFonts w:cs="Arial"/>
          <w:color w:val="000000"/>
          <w:u w:val="single"/>
        </w:rPr>
      </w:pPr>
      <w:r w:rsidRPr="009E210A">
        <w:rPr>
          <w:rFonts w:cs="Arial"/>
          <w:color w:val="000000"/>
          <w:u w:val="single"/>
        </w:rPr>
        <w:t>Ongoing DCBS Staff Training Efforts (Purpose 6)</w:t>
      </w:r>
    </w:p>
    <w:p w:rsidR="00C0061B" w:rsidRPr="009E210A" w:rsidRDefault="00C0061B" w:rsidP="00C0061B">
      <w:pPr>
        <w:rPr>
          <w:color w:val="000000"/>
        </w:rPr>
      </w:pPr>
    </w:p>
    <w:p w:rsidR="00C0061B" w:rsidRDefault="00C0061B" w:rsidP="00C0061B">
      <w:pPr>
        <w:rPr>
          <w:rFonts w:cs="Arial"/>
          <w:color w:val="000000"/>
        </w:rPr>
      </w:pPr>
      <w:r w:rsidRPr="009E210A">
        <w:rPr>
          <w:rFonts w:cs="Arial"/>
          <w:color w:val="000000"/>
        </w:rPr>
        <w:t>Funds will be used to develop, strengthen and facilitate training opportunities and requirements for staff in protection and permanency responsible for overseeing and providing services to children and their families through the child protection system.  The DCBS Training Branch will continue to provide training/educational courses designed to strengthen the</w:t>
      </w:r>
      <w:r w:rsidR="009E210A">
        <w:rPr>
          <w:rFonts w:cs="Arial"/>
          <w:color w:val="000000"/>
        </w:rPr>
        <w:t xml:space="preserve"> child protection system</w:t>
      </w:r>
      <w:r w:rsidRPr="009E210A">
        <w:rPr>
          <w:rFonts w:cs="Arial"/>
          <w:color w:val="000000"/>
        </w:rPr>
        <w:t>.</w:t>
      </w:r>
    </w:p>
    <w:p w:rsidR="004F4969" w:rsidRDefault="004F4969" w:rsidP="00C0061B">
      <w:pPr>
        <w:rPr>
          <w:rFonts w:cs="Arial"/>
          <w:color w:val="000000"/>
        </w:rPr>
      </w:pPr>
    </w:p>
    <w:p w:rsidR="00385086" w:rsidRDefault="00385086" w:rsidP="00C0061B">
      <w:pPr>
        <w:rPr>
          <w:rFonts w:cs="Arial"/>
          <w:color w:val="000000"/>
        </w:rPr>
      </w:pPr>
    </w:p>
    <w:p w:rsidR="00385086" w:rsidRDefault="00385086" w:rsidP="00A07C6A">
      <w:pPr>
        <w:pStyle w:val="Heading1"/>
        <w:numPr>
          <w:ilvl w:val="0"/>
          <w:numId w:val="1"/>
        </w:numPr>
        <w:ind w:left="180" w:hanging="180"/>
      </w:pPr>
      <w:r>
        <w:t>Policies and Procedures that Promote Family Engagement in Decision-Making</w:t>
      </w:r>
    </w:p>
    <w:p w:rsidR="004F4969" w:rsidRDefault="004F4969" w:rsidP="00385086"/>
    <w:p w:rsidR="00385086" w:rsidRDefault="00282E1B" w:rsidP="00385086">
      <w:r>
        <w:t xml:space="preserve">Agency personnel are encouraged to engage families in decision-making throughout the life of the case.  As such, instead of a single specific procedures, language supporting engagement as a practice are interwoven throughout the state’s written procedures, practice guides, training materials, and case review instrument.  However, some particularly relevant </w:t>
      </w:r>
      <w:r w:rsidR="00B84B74">
        <w:t>materials</w:t>
      </w:r>
      <w:r>
        <w:t xml:space="preserve"> can be read directly at:</w:t>
      </w:r>
    </w:p>
    <w:p w:rsidR="00147A18" w:rsidRDefault="00147A18" w:rsidP="00385086"/>
    <w:p w:rsidR="000C4812" w:rsidRDefault="000C4812" w:rsidP="000C4812">
      <w:r>
        <w:t>Kentucky Standard of Practice</w:t>
      </w:r>
      <w:r w:rsidRPr="000C4812">
        <w:t xml:space="preserve">:  </w:t>
      </w:r>
    </w:p>
    <w:p w:rsidR="00B435E4" w:rsidRDefault="009F6B6E" w:rsidP="000C4812">
      <w:pPr>
        <w:pStyle w:val="ListParagraph"/>
        <w:numPr>
          <w:ilvl w:val="0"/>
          <w:numId w:val="23"/>
        </w:numPr>
      </w:pPr>
      <w:hyperlink r:id="rId7" w:history="1">
        <w:r w:rsidR="000C4812">
          <w:rPr>
            <w:rStyle w:val="Hyperlink"/>
          </w:rPr>
          <w:t>Section 3</w:t>
        </w:r>
        <w:r w:rsidR="00147A18" w:rsidRPr="00147A18">
          <w:rPr>
            <w:rStyle w:val="Hyperlink"/>
          </w:rPr>
          <w:t>.4 Preparation for the Initial Case Planning Conference</w:t>
        </w:r>
      </w:hyperlink>
    </w:p>
    <w:p w:rsidR="000C4812" w:rsidRDefault="000C4812" w:rsidP="000C4812"/>
    <w:p w:rsidR="000C4812" w:rsidRDefault="000C4812" w:rsidP="000C4812">
      <w:r>
        <w:t xml:space="preserve">Kentucky Standard of Practice Resource:  </w:t>
      </w:r>
    </w:p>
    <w:p w:rsidR="005E1BED" w:rsidRDefault="009F6B6E" w:rsidP="005E1BED">
      <w:pPr>
        <w:pStyle w:val="ListParagraph"/>
        <w:numPr>
          <w:ilvl w:val="0"/>
          <w:numId w:val="23"/>
        </w:numPr>
      </w:pPr>
      <w:hyperlink r:id="rId8" w:history="1">
        <w:r w:rsidR="005E1BED" w:rsidRPr="005E1BED">
          <w:rPr>
            <w:rStyle w:val="Hyperlink"/>
          </w:rPr>
          <w:t>Visitation Between Caseworker and Parents Tip Sheet</w:t>
        </w:r>
      </w:hyperlink>
    </w:p>
    <w:p w:rsidR="005E1BED" w:rsidRDefault="009F6B6E" w:rsidP="005E1BED">
      <w:pPr>
        <w:pStyle w:val="ListParagraph"/>
        <w:numPr>
          <w:ilvl w:val="0"/>
          <w:numId w:val="23"/>
        </w:numPr>
      </w:pPr>
      <w:hyperlink r:id="rId9" w:history="1">
        <w:r w:rsidR="005E1BED" w:rsidRPr="005E1BED">
          <w:rPr>
            <w:rStyle w:val="Hyperlink"/>
          </w:rPr>
          <w:t>Visitation Between Caseworker, Child(ren) and Care Provider Tip Sheet</w:t>
        </w:r>
      </w:hyperlink>
    </w:p>
    <w:p w:rsidR="005E1BED" w:rsidRDefault="009F6B6E" w:rsidP="005E1BED">
      <w:pPr>
        <w:pStyle w:val="ListParagraph"/>
        <w:numPr>
          <w:ilvl w:val="0"/>
          <w:numId w:val="23"/>
        </w:numPr>
      </w:pPr>
      <w:hyperlink r:id="rId10" w:history="1">
        <w:r w:rsidR="0019009A" w:rsidRPr="0019009A">
          <w:rPr>
            <w:rStyle w:val="Hyperlink"/>
          </w:rPr>
          <w:t>Involvement of Fathers Tip Sheet</w:t>
        </w:r>
      </w:hyperlink>
    </w:p>
    <w:p w:rsidR="0019009A" w:rsidRDefault="009F6B6E" w:rsidP="000C4812">
      <w:pPr>
        <w:pStyle w:val="ListParagraph"/>
        <w:numPr>
          <w:ilvl w:val="0"/>
          <w:numId w:val="23"/>
        </w:numPr>
      </w:pPr>
      <w:hyperlink r:id="rId11" w:history="1">
        <w:r w:rsidR="0019009A" w:rsidRPr="0019009A">
          <w:rPr>
            <w:rStyle w:val="Hyperlink"/>
          </w:rPr>
          <w:t>Promoting Family Team Meetings (FTM) Tip Sheet</w:t>
        </w:r>
      </w:hyperlink>
    </w:p>
    <w:p w:rsidR="000C4812" w:rsidRDefault="009F6B6E" w:rsidP="000C4812">
      <w:pPr>
        <w:pStyle w:val="ListParagraph"/>
        <w:numPr>
          <w:ilvl w:val="0"/>
          <w:numId w:val="23"/>
        </w:numPr>
      </w:pPr>
      <w:hyperlink r:id="rId12" w:history="1">
        <w:r w:rsidR="000C4812" w:rsidRPr="000C4812">
          <w:rPr>
            <w:rStyle w:val="Hyperlink"/>
          </w:rPr>
          <w:t>Strengths in Families Worksheet</w:t>
        </w:r>
      </w:hyperlink>
    </w:p>
    <w:p w:rsidR="00385086" w:rsidRDefault="00385086" w:rsidP="00385086"/>
    <w:p w:rsidR="004F4969" w:rsidRPr="00385086" w:rsidRDefault="004F4969" w:rsidP="00385086"/>
    <w:p w:rsidR="00385086" w:rsidRDefault="00385086" w:rsidP="00A07C6A">
      <w:pPr>
        <w:pStyle w:val="Heading1"/>
        <w:numPr>
          <w:ilvl w:val="0"/>
          <w:numId w:val="1"/>
        </w:numPr>
        <w:ind w:left="180" w:hanging="180"/>
      </w:pPr>
      <w:r>
        <w:t>Policies and Procedures that Promote Collaboration with Service Providers</w:t>
      </w:r>
    </w:p>
    <w:p w:rsidR="004F4969" w:rsidRDefault="004F4969" w:rsidP="00B84B74"/>
    <w:p w:rsidR="00147A18" w:rsidRDefault="00B84B74" w:rsidP="00B84B74">
      <w:r>
        <w:t>Ultimately, a significant portion of the state is primarily served by local community mental health agencies.  Community mental health agencies offer mental health services and substance abuse services.  Domestic violence victims can receive additional services through the state’s domestic violence association, including case management and emergency shelter.  L</w:t>
      </w:r>
      <w:r w:rsidR="00282E1B" w:rsidRPr="00282E1B">
        <w:t xml:space="preserve">anguage supporting </w:t>
      </w:r>
      <w:r w:rsidR="00282E1B">
        <w:t>collaboration</w:t>
      </w:r>
      <w:r w:rsidR="00282E1B" w:rsidRPr="00282E1B">
        <w:t xml:space="preserve"> </w:t>
      </w:r>
      <w:r>
        <w:t>with service providers is</w:t>
      </w:r>
      <w:r w:rsidR="00282E1B" w:rsidRPr="00282E1B">
        <w:t xml:space="preserve"> interwoven throughout the state’s written procedures, practice gu</w:t>
      </w:r>
      <w:r w:rsidR="00282E1B">
        <w:t>ides,</w:t>
      </w:r>
      <w:r w:rsidR="00282E1B" w:rsidRPr="00282E1B">
        <w:t xml:space="preserve"> training materials</w:t>
      </w:r>
      <w:r w:rsidR="00282E1B">
        <w:t>, and case review instrument</w:t>
      </w:r>
      <w:r w:rsidR="00282E1B" w:rsidRPr="00282E1B">
        <w:t xml:space="preserve">.  However, some particularly relevant </w:t>
      </w:r>
      <w:r>
        <w:t>materials</w:t>
      </w:r>
      <w:r w:rsidR="00282E1B" w:rsidRPr="00282E1B">
        <w:t xml:space="preserve"> can be read directly at:</w:t>
      </w:r>
      <w:r w:rsidR="00147A18">
        <w:t xml:space="preserve"> </w:t>
      </w:r>
      <w:r w:rsidR="00147A18" w:rsidRPr="00147A18">
        <w:t xml:space="preserve"> </w:t>
      </w:r>
    </w:p>
    <w:p w:rsidR="00147A18" w:rsidRDefault="00147A18" w:rsidP="00385086"/>
    <w:p w:rsidR="000C4812" w:rsidRDefault="000C4812" w:rsidP="000C4812">
      <w:r w:rsidRPr="000C4812">
        <w:t xml:space="preserve">Kentucky Standard of Practice:  </w:t>
      </w:r>
    </w:p>
    <w:p w:rsidR="00385086" w:rsidRDefault="009F6B6E" w:rsidP="000C4812">
      <w:pPr>
        <w:pStyle w:val="ListParagraph"/>
        <w:numPr>
          <w:ilvl w:val="0"/>
          <w:numId w:val="22"/>
        </w:numPr>
      </w:pPr>
      <w:hyperlink r:id="rId13" w:history="1">
        <w:r w:rsidR="000C4812">
          <w:rPr>
            <w:rStyle w:val="Hyperlink"/>
          </w:rPr>
          <w:t>Section</w:t>
        </w:r>
        <w:r w:rsidR="00147A18" w:rsidRPr="00B435E4">
          <w:rPr>
            <w:rStyle w:val="Hyperlink"/>
          </w:rPr>
          <w:t xml:space="preserve"> 1.9 Working With Service Providers</w:t>
        </w:r>
      </w:hyperlink>
    </w:p>
    <w:p w:rsidR="00BF4C7C" w:rsidRDefault="009F6B6E" w:rsidP="000C4812">
      <w:pPr>
        <w:pStyle w:val="ListParagraph"/>
        <w:numPr>
          <w:ilvl w:val="0"/>
          <w:numId w:val="22"/>
        </w:numPr>
      </w:pPr>
      <w:hyperlink r:id="rId14" w:history="1">
        <w:r w:rsidR="00BF4C7C">
          <w:rPr>
            <w:rStyle w:val="Hyperlink"/>
          </w:rPr>
          <w:t>Section 2</w:t>
        </w:r>
        <w:r w:rsidR="00BF4C7C" w:rsidRPr="00BF4C7C">
          <w:rPr>
            <w:rStyle w:val="Hyperlink"/>
          </w:rPr>
          <w:t>1.4 Referral to Spouse Abuse Center</w:t>
        </w:r>
      </w:hyperlink>
    </w:p>
    <w:p w:rsidR="000C4812" w:rsidRDefault="000C4812" w:rsidP="000C4812"/>
    <w:p w:rsidR="000C4812" w:rsidRDefault="000C4812" w:rsidP="000C4812">
      <w:r>
        <w:t xml:space="preserve">Kentucky Standard of Practice Resource:  </w:t>
      </w:r>
    </w:p>
    <w:p w:rsidR="00617ED8" w:rsidRDefault="009F6B6E" w:rsidP="00385086">
      <w:pPr>
        <w:pStyle w:val="ListParagraph"/>
        <w:numPr>
          <w:ilvl w:val="0"/>
          <w:numId w:val="22"/>
        </w:numPr>
      </w:pPr>
      <w:hyperlink r:id="rId15" w:history="1">
        <w:r w:rsidR="0019009A" w:rsidRPr="0019009A">
          <w:rPr>
            <w:rStyle w:val="Hyperlink"/>
          </w:rPr>
          <w:t>Partnerships for Service-A Manual of Collaboration for Kentucky's Social Service and Mental Health Agencies</w:t>
        </w:r>
      </w:hyperlink>
    </w:p>
    <w:p w:rsidR="00385086" w:rsidRDefault="00385086" w:rsidP="00385086"/>
    <w:p w:rsidR="004F4969" w:rsidRPr="00385086" w:rsidRDefault="004F4969" w:rsidP="00385086"/>
    <w:p w:rsidR="00385086" w:rsidRPr="00385086" w:rsidRDefault="00385086" w:rsidP="00A07C6A">
      <w:pPr>
        <w:pStyle w:val="Heading1"/>
        <w:numPr>
          <w:ilvl w:val="0"/>
          <w:numId w:val="1"/>
        </w:numPr>
        <w:ind w:left="180" w:hanging="180"/>
      </w:pPr>
      <w:r>
        <w:t>Policies and Procedures Regarding Differential Response</w:t>
      </w:r>
    </w:p>
    <w:p w:rsidR="009E210A" w:rsidRDefault="00282E1B" w:rsidP="00C0061B">
      <w:pPr>
        <w:rPr>
          <w:rFonts w:cs="Arial"/>
          <w:color w:val="000000"/>
        </w:rPr>
      </w:pPr>
      <w:r>
        <w:rPr>
          <w:rFonts w:cs="Arial"/>
          <w:color w:val="000000"/>
        </w:rPr>
        <w:t>Procedures regarding Kentucky’s use of differential response can be read directly at:</w:t>
      </w:r>
    </w:p>
    <w:p w:rsidR="00A07C6A" w:rsidRDefault="00A07C6A" w:rsidP="00C0061B">
      <w:pPr>
        <w:rPr>
          <w:rFonts w:cs="Arial"/>
          <w:color w:val="000000"/>
        </w:rPr>
      </w:pPr>
    </w:p>
    <w:p w:rsidR="00A07C6A" w:rsidRDefault="00A07C6A" w:rsidP="00C0061B">
      <w:pPr>
        <w:rPr>
          <w:rFonts w:cs="Arial"/>
          <w:color w:val="000000"/>
        </w:rPr>
      </w:pPr>
      <w:r>
        <w:rPr>
          <w:rFonts w:cs="Arial"/>
          <w:color w:val="000000"/>
        </w:rPr>
        <w:t xml:space="preserve">Kentucky Standard of Practice:  </w:t>
      </w:r>
      <w:hyperlink r:id="rId16" w:history="1">
        <w:r w:rsidRPr="00A07C6A">
          <w:rPr>
            <w:rStyle w:val="Hyperlink"/>
            <w:rFonts w:cs="Arial"/>
          </w:rPr>
          <w:t xml:space="preserve">2.1 Receiving the Report </w:t>
        </w:r>
      </w:hyperlink>
      <w:r w:rsidRPr="00A07C6A">
        <w:rPr>
          <w:rFonts w:cs="Arial"/>
          <w:color w:val="000000"/>
        </w:rPr>
        <w:t xml:space="preserve"> </w:t>
      </w:r>
    </w:p>
    <w:p w:rsidR="004F4969" w:rsidRDefault="004F4969" w:rsidP="00C0061B">
      <w:pPr>
        <w:rPr>
          <w:rFonts w:cs="Arial"/>
          <w:color w:val="000000"/>
        </w:rPr>
      </w:pPr>
    </w:p>
    <w:p w:rsidR="00385086" w:rsidRDefault="00385086" w:rsidP="00C0061B">
      <w:pPr>
        <w:rPr>
          <w:rFonts w:cs="Arial"/>
          <w:color w:val="000000"/>
        </w:rPr>
      </w:pPr>
    </w:p>
    <w:p w:rsidR="009E210A" w:rsidRPr="009E210A" w:rsidRDefault="009E210A" w:rsidP="00A07C6A">
      <w:pPr>
        <w:pStyle w:val="Heading1"/>
        <w:numPr>
          <w:ilvl w:val="0"/>
          <w:numId w:val="1"/>
        </w:numPr>
        <w:ind w:left="180" w:hanging="180"/>
      </w:pPr>
      <w:r w:rsidRPr="009E210A">
        <w:t>Citizen Review Panels</w:t>
      </w:r>
    </w:p>
    <w:p w:rsidR="00C0061B" w:rsidRDefault="009E210A" w:rsidP="00C0061B">
      <w:r>
        <w:t xml:space="preserve">A copy of the annual Citizen Review Panel report and agency response </w:t>
      </w:r>
      <w:r w:rsidR="00876655">
        <w:t>is</w:t>
      </w:r>
      <w:r>
        <w:t xml:space="preserve"> </w:t>
      </w:r>
      <w:r w:rsidRPr="0049674F">
        <w:t>attached</w:t>
      </w:r>
      <w:r w:rsidR="0049674F">
        <w:t xml:space="preserve"> (</w:t>
      </w:r>
      <w:r w:rsidR="0049674F" w:rsidRPr="003E576C">
        <w:t xml:space="preserve">Attachment </w:t>
      </w:r>
      <w:r w:rsidR="003428B9" w:rsidRPr="003E576C">
        <w:t>2</w:t>
      </w:r>
      <w:r w:rsidR="0049674F" w:rsidRPr="003E576C">
        <w:t>)</w:t>
      </w:r>
      <w:r w:rsidRPr="003E576C">
        <w:t>.</w:t>
      </w:r>
    </w:p>
    <w:p w:rsidR="009E210A" w:rsidRDefault="009E210A" w:rsidP="00C0061B"/>
    <w:p w:rsidR="009E210A" w:rsidRDefault="009E210A" w:rsidP="00A07C6A">
      <w:pPr>
        <w:pStyle w:val="Heading1"/>
        <w:numPr>
          <w:ilvl w:val="0"/>
          <w:numId w:val="1"/>
        </w:numPr>
        <w:ind w:left="180" w:hanging="180"/>
      </w:pPr>
      <w:r w:rsidRPr="00AD5B14">
        <w:t>Annual Data Report</w:t>
      </w:r>
    </w:p>
    <w:p w:rsidR="00AD5B14" w:rsidRDefault="00AD5B14" w:rsidP="009E210A">
      <w:pPr>
        <w:jc w:val="center"/>
      </w:pPr>
    </w:p>
    <w:p w:rsidR="009E210A" w:rsidRDefault="009E210A" w:rsidP="00AD5B14">
      <w:pPr>
        <w:rPr>
          <w:u w:val="single"/>
        </w:rPr>
      </w:pPr>
      <w:r>
        <w:rPr>
          <w:u w:val="single"/>
        </w:rPr>
        <w:t>Juvenile Justice Transfers</w:t>
      </w:r>
    </w:p>
    <w:p w:rsidR="00436892" w:rsidRDefault="00436892" w:rsidP="00436892">
      <w:r>
        <w:rPr>
          <w:rFonts w:cs="Arial"/>
        </w:rPr>
        <w:t>Juvenile Justice t</w:t>
      </w:r>
      <w:r w:rsidRPr="00F809FE">
        <w:rPr>
          <w:rFonts w:cs="Arial"/>
        </w:rPr>
        <w:t xml:space="preserve">ransfers </w:t>
      </w:r>
      <w:r>
        <w:rPr>
          <w:rFonts w:cs="Arial"/>
        </w:rPr>
        <w:t xml:space="preserve">refers to </w:t>
      </w:r>
      <w:r w:rsidRPr="00F809FE">
        <w:rPr>
          <w:rFonts w:cs="Arial"/>
        </w:rPr>
        <w:t xml:space="preserve">the population of children who are transferred from the department’s custody to the responsibility of the state juvenile justice agency, either placed in that agency’s custody or through legal commitment.  Once the court order is issued, the DPP caseworker enters the change in the SACWIS by noting an “exit” in the child’s placement screen.  </w:t>
      </w:r>
      <w:r>
        <w:rPr>
          <w:rFonts w:cs="Arial"/>
        </w:rPr>
        <w:t>Department</w:t>
      </w:r>
      <w:r w:rsidRPr="00F809FE">
        <w:rPr>
          <w:rFonts w:cs="Arial"/>
        </w:rPr>
        <w:t xml:space="preserve"> personnel are directed to enter data in a TWIST field designated as “Transferred to Another Agency,” and the juvenile justice transfer number is extrapolated from that field.  Additionally, </w:t>
      </w:r>
      <w:r w:rsidR="004556AD">
        <w:rPr>
          <w:rFonts w:cs="Arial"/>
        </w:rPr>
        <w:t xml:space="preserve">the </w:t>
      </w:r>
      <w:r>
        <w:rPr>
          <w:rFonts w:cs="Arial"/>
        </w:rPr>
        <w:t>department</w:t>
      </w:r>
      <w:r w:rsidRPr="00F809FE">
        <w:rPr>
          <w:rFonts w:cs="Arial"/>
        </w:rPr>
        <w:t xml:space="preserve"> and </w:t>
      </w:r>
      <w:r>
        <w:rPr>
          <w:rFonts w:cs="Arial"/>
        </w:rPr>
        <w:t xml:space="preserve">the state </w:t>
      </w:r>
      <w:r w:rsidRPr="00F809FE">
        <w:rPr>
          <w:rFonts w:cs="Arial"/>
        </w:rPr>
        <w:t>D</w:t>
      </w:r>
      <w:r>
        <w:rPr>
          <w:rFonts w:cs="Arial"/>
        </w:rPr>
        <w:t xml:space="preserve">epartment of </w:t>
      </w:r>
      <w:r w:rsidRPr="00F809FE">
        <w:rPr>
          <w:rFonts w:cs="Arial"/>
        </w:rPr>
        <w:t>J</w:t>
      </w:r>
      <w:r>
        <w:rPr>
          <w:rFonts w:cs="Arial"/>
        </w:rPr>
        <w:t xml:space="preserve">uvenile </w:t>
      </w:r>
      <w:r w:rsidRPr="00F809FE">
        <w:rPr>
          <w:rFonts w:cs="Arial"/>
        </w:rPr>
        <w:t>J</w:t>
      </w:r>
      <w:r>
        <w:rPr>
          <w:rFonts w:cs="Arial"/>
        </w:rPr>
        <w:t>ustice</w:t>
      </w:r>
      <w:r w:rsidRPr="00F809FE">
        <w:rPr>
          <w:rFonts w:cs="Arial"/>
        </w:rPr>
        <w:t xml:space="preserve"> have an informal agreement to share data on this population.  </w:t>
      </w:r>
      <w:r w:rsidR="00B84B74">
        <w:rPr>
          <w:rFonts w:cs="Arial"/>
        </w:rPr>
        <w:t>D</w:t>
      </w:r>
      <w:r w:rsidRPr="00F809FE">
        <w:rPr>
          <w:rFonts w:cs="Arial"/>
        </w:rPr>
        <w:t xml:space="preserve">ata </w:t>
      </w:r>
      <w:r w:rsidR="00B84B74">
        <w:rPr>
          <w:rFonts w:cs="Arial"/>
        </w:rPr>
        <w:t>sharing</w:t>
      </w:r>
      <w:r w:rsidRPr="00F809FE">
        <w:rPr>
          <w:rFonts w:cs="Arial"/>
        </w:rPr>
        <w:t xml:space="preserve"> among agencies occurs in alignment with the Federal AFCARS submission twice per year.  Children who exit to the state juvenile justice agency may do so for a variety of reasons associated with their specific situation and court case.  Typical reasons for transfer include the receipt of a criminal conviction for crimes committed prior to or during their commitmen</w:t>
      </w:r>
      <w:r>
        <w:rPr>
          <w:rFonts w:cs="Arial"/>
        </w:rPr>
        <w:t xml:space="preserve">t to the child welfare agency.  </w:t>
      </w:r>
      <w:r w:rsidRPr="00AD64C8">
        <w:rPr>
          <w:rFonts w:cs="Arial"/>
        </w:rPr>
        <w:t xml:space="preserve">During </w:t>
      </w:r>
      <w:r>
        <w:rPr>
          <w:rFonts w:cs="Arial"/>
        </w:rPr>
        <w:t>c</w:t>
      </w:r>
      <w:r w:rsidRPr="00AD64C8">
        <w:rPr>
          <w:rFonts w:cs="Arial"/>
        </w:rPr>
        <w:t xml:space="preserve">alendar </w:t>
      </w:r>
      <w:r>
        <w:rPr>
          <w:rFonts w:cs="Arial"/>
        </w:rPr>
        <w:t>y</w:t>
      </w:r>
      <w:r w:rsidRPr="00AD64C8">
        <w:rPr>
          <w:rFonts w:cs="Arial"/>
        </w:rPr>
        <w:t xml:space="preserve">ear </w:t>
      </w:r>
      <w:r w:rsidRPr="000911CF">
        <w:rPr>
          <w:rFonts w:cs="Arial"/>
        </w:rPr>
        <w:t>20</w:t>
      </w:r>
      <w:r w:rsidR="0041336C">
        <w:rPr>
          <w:rFonts w:cs="Arial"/>
        </w:rPr>
        <w:t>10</w:t>
      </w:r>
      <w:r w:rsidRPr="000911CF">
        <w:rPr>
          <w:rFonts w:cs="Arial"/>
        </w:rPr>
        <w:t xml:space="preserve">, </w:t>
      </w:r>
      <w:r w:rsidR="0041336C">
        <w:rPr>
          <w:rFonts w:cs="Arial"/>
        </w:rPr>
        <w:t>50</w:t>
      </w:r>
      <w:r w:rsidRPr="00AD64C8">
        <w:rPr>
          <w:rFonts w:cs="Arial"/>
        </w:rPr>
        <w:t xml:space="preserve"> children under the care of Kent</w:t>
      </w:r>
      <w:r>
        <w:rPr>
          <w:rFonts w:cs="Arial"/>
        </w:rPr>
        <w:t xml:space="preserve">ucky’s child protection system </w:t>
      </w:r>
      <w:r w:rsidRPr="00AD64C8">
        <w:rPr>
          <w:rFonts w:cs="Arial"/>
        </w:rPr>
        <w:t>were transferred into the custody of Kentucky’s juvenile justice system (D</w:t>
      </w:r>
      <w:r>
        <w:rPr>
          <w:rFonts w:cs="Arial"/>
        </w:rPr>
        <w:t xml:space="preserve">epartment of </w:t>
      </w:r>
      <w:r w:rsidRPr="00AD64C8">
        <w:rPr>
          <w:rFonts w:cs="Arial"/>
        </w:rPr>
        <w:t>J</w:t>
      </w:r>
      <w:r>
        <w:rPr>
          <w:rFonts w:cs="Arial"/>
        </w:rPr>
        <w:t xml:space="preserve">uvenile </w:t>
      </w:r>
      <w:r w:rsidRPr="00AD64C8">
        <w:rPr>
          <w:rFonts w:cs="Arial"/>
        </w:rPr>
        <w:t>J</w:t>
      </w:r>
      <w:r>
        <w:rPr>
          <w:rFonts w:cs="Arial"/>
        </w:rPr>
        <w:t>ustice</w:t>
      </w:r>
      <w:r w:rsidRPr="00AD64C8">
        <w:rPr>
          <w:rFonts w:cs="Arial"/>
        </w:rPr>
        <w:t xml:space="preserve">).  </w:t>
      </w:r>
      <w:r w:rsidRPr="00E80C51">
        <w:tab/>
      </w:r>
    </w:p>
    <w:p w:rsidR="009E210A" w:rsidRDefault="009E210A" w:rsidP="009E210A">
      <w:pPr>
        <w:jc w:val="center"/>
        <w:rPr>
          <w:u w:val="single"/>
        </w:rPr>
      </w:pPr>
    </w:p>
    <w:p w:rsidR="009E210A" w:rsidRDefault="009E210A" w:rsidP="00AD5B14">
      <w:pPr>
        <w:rPr>
          <w:u w:val="single"/>
        </w:rPr>
      </w:pPr>
      <w:r>
        <w:rPr>
          <w:u w:val="single"/>
        </w:rPr>
        <w:t>Information on Child Protective Service Workforce</w:t>
      </w:r>
    </w:p>
    <w:p w:rsidR="007C3BE9" w:rsidRDefault="00190EFA" w:rsidP="00F22B43">
      <w:pPr>
        <w:pStyle w:val="ListParagraph"/>
        <w:ind w:left="0"/>
      </w:pPr>
      <w:r>
        <w:t xml:space="preserve">CAPTA requires states to report information regarding its personnel who are responsible for intake, screening, assessment, and investigation.  In Kentucky, </w:t>
      </w:r>
      <w:r w:rsidR="007C3BE9">
        <w:t>workers do not experience differences in classification</w:t>
      </w:r>
      <w:r w:rsidR="00B84B74">
        <w:t xml:space="preserve"> (job title)</w:t>
      </w:r>
      <w:r w:rsidR="007C3BE9">
        <w:t>, core curriculum training, or pay</w:t>
      </w:r>
      <w:r w:rsidR="00B84B74">
        <w:t xml:space="preserve"> based on caseload type</w:t>
      </w:r>
      <w:r w:rsidR="007C3BE9">
        <w:t xml:space="preserve">.  Some workers do carry entirely investigative caseloads; however, any worker could be tasked with an investigation since the agency’s expectation and design is towards a generic workforce.  The direct line of leadership supervising an individual position has the flexibility to task specific individuals or create teams of specific individuals who only do investigations for efficiency.  </w:t>
      </w:r>
      <w:r w:rsidR="003F7A3F">
        <w:t xml:space="preserve">However, there </w:t>
      </w:r>
      <w:r w:rsidR="007C3BE9">
        <w:t xml:space="preserve">are regional </w:t>
      </w:r>
      <w:r w:rsidR="00BE568E">
        <w:t xml:space="preserve">and county </w:t>
      </w:r>
      <w:r w:rsidR="007C3BE9">
        <w:t>situations where every worker is generic</w:t>
      </w:r>
      <w:r w:rsidR="00BE568E">
        <w:t>, or at least flexible,</w:t>
      </w:r>
      <w:r w:rsidR="007C3BE9">
        <w:t xml:space="preserve"> and carrying a mixed caseload of investigations and ongoing</w:t>
      </w:r>
      <w:r w:rsidR="00BE568E">
        <w:t xml:space="preserve"> at any given time</w:t>
      </w:r>
      <w:r w:rsidR="007C3BE9">
        <w:t xml:space="preserve">.  </w:t>
      </w:r>
      <w:r w:rsidR="00B84B74">
        <w:t>Thus, the</w:t>
      </w:r>
      <w:r w:rsidR="003F7A3F">
        <w:t xml:space="preserve"> state’s data system does not separate worker data based on specialty, since the system is designed to consider every position generic.  </w:t>
      </w:r>
    </w:p>
    <w:p w:rsidR="003F7A3F" w:rsidRDefault="003F7A3F" w:rsidP="00B6156A">
      <w:pPr>
        <w:rPr>
          <w:u w:val="single"/>
        </w:rPr>
      </w:pPr>
    </w:p>
    <w:p w:rsidR="00A03FBE" w:rsidRDefault="004556AD" w:rsidP="00190EFA">
      <w:pPr>
        <w:jc w:val="center"/>
        <w:rPr>
          <w:u w:val="single"/>
        </w:rPr>
      </w:pPr>
      <w:r>
        <w:rPr>
          <w:u w:val="single"/>
        </w:rPr>
        <w:t>E</w:t>
      </w:r>
      <w:r w:rsidR="00190EFA" w:rsidRPr="00190EFA">
        <w:rPr>
          <w:u w:val="single"/>
        </w:rPr>
        <w:t xml:space="preserve">ducation, qualifications, and training requirements </w:t>
      </w:r>
    </w:p>
    <w:p w:rsidR="00A03FBE" w:rsidRDefault="00190EFA" w:rsidP="00190EFA">
      <w:pPr>
        <w:jc w:val="center"/>
        <w:rPr>
          <w:u w:val="single"/>
        </w:rPr>
      </w:pPr>
      <w:r w:rsidRPr="00190EFA">
        <w:rPr>
          <w:u w:val="single"/>
        </w:rPr>
        <w:t xml:space="preserve">established by the State for child protective service professionals, </w:t>
      </w:r>
    </w:p>
    <w:p w:rsidR="00A03FBE" w:rsidRDefault="00190EFA" w:rsidP="00190EFA">
      <w:pPr>
        <w:jc w:val="center"/>
        <w:rPr>
          <w:u w:val="single"/>
        </w:rPr>
      </w:pPr>
      <w:r w:rsidRPr="00190EFA">
        <w:rPr>
          <w:u w:val="single"/>
        </w:rPr>
        <w:t xml:space="preserve">including for entry and advancement in the profession, </w:t>
      </w:r>
    </w:p>
    <w:p w:rsidR="00190EFA" w:rsidRPr="00190EFA" w:rsidRDefault="00190EFA" w:rsidP="00190EFA">
      <w:pPr>
        <w:jc w:val="center"/>
        <w:rPr>
          <w:u w:val="single"/>
        </w:rPr>
      </w:pPr>
      <w:r w:rsidRPr="00190EFA">
        <w:rPr>
          <w:u w:val="single"/>
        </w:rPr>
        <w:t>including advancement to supervisory positions;</w:t>
      </w:r>
    </w:p>
    <w:p w:rsidR="004F4969" w:rsidRDefault="004F4969" w:rsidP="00763A6D"/>
    <w:p w:rsidR="00763A6D" w:rsidRDefault="00D04351" w:rsidP="00763A6D">
      <w:r>
        <w:lastRenderedPageBreak/>
        <w:t>Department personnel are organizationally aligned by their class title.  A class title encompasses the duties and t</w:t>
      </w:r>
      <w:r w:rsidR="004668F6">
        <w:t xml:space="preserve">he qualifications, education, and training requirements </w:t>
      </w:r>
      <w:r>
        <w:t>considered necessary to execute the duties successfully.  For each class title, the duties and qualification requirements are described by the class specification.  For all of state government in Kentucky, class titles and class specifications a</w:t>
      </w:r>
      <w:r w:rsidR="004668F6">
        <w:t>re established by the Personnel Cabinet</w:t>
      </w:r>
      <w:r>
        <w:t xml:space="preserve"> in conjunction with the agency or agencies that uses the class title to deploy any part of its workforce</w:t>
      </w:r>
      <w:r w:rsidR="004668F6">
        <w:t xml:space="preserve">. </w:t>
      </w:r>
      <w:r w:rsidR="00F22B43">
        <w:t xml:space="preserve"> </w:t>
      </w:r>
      <w:r w:rsidR="00763A6D">
        <w:t xml:space="preserve">A table of all Kentucky’s applicable child welfare titles and specifications which summarizes all the relevant class specifications is provided as </w:t>
      </w:r>
      <w:r w:rsidR="004556AD" w:rsidRPr="003E576C">
        <w:t>A</w:t>
      </w:r>
      <w:r w:rsidR="00763A6D" w:rsidRPr="003E576C">
        <w:t xml:space="preserve">ttachment </w:t>
      </w:r>
      <w:r w:rsidR="003428B9" w:rsidRPr="003E576C">
        <w:t>3</w:t>
      </w:r>
      <w:r w:rsidR="00763A6D">
        <w:t xml:space="preserve">.  </w:t>
      </w:r>
      <w:r w:rsidR="00B6156A" w:rsidRPr="00B6156A">
        <w:t>Any applicant may theoretically enter the state’s system at any classification, as long as they</w:t>
      </w:r>
      <w:r w:rsidR="00B84B74">
        <w:t>:</w:t>
      </w:r>
      <w:r w:rsidR="00B6156A" w:rsidRPr="00B6156A">
        <w:t xml:space="preserve"> </w:t>
      </w:r>
      <w:r w:rsidR="00B84B74">
        <w:t xml:space="preserve"> </w:t>
      </w:r>
      <w:r w:rsidR="00B6156A" w:rsidRPr="00B6156A">
        <w:t>meet the minimum requirements as depicted on the class specification</w:t>
      </w:r>
      <w:r w:rsidR="00B6156A">
        <w:t>,</w:t>
      </w:r>
      <w:r w:rsidR="00B6156A" w:rsidRPr="00B6156A">
        <w:t xml:space="preserve"> are selected by the designated </w:t>
      </w:r>
      <w:r w:rsidR="00B6156A">
        <w:t>interview panel</w:t>
      </w:r>
      <w:r w:rsidR="00B6156A" w:rsidRPr="00B6156A">
        <w:t xml:space="preserve"> for that individual vacancy</w:t>
      </w:r>
      <w:r w:rsidR="00B6156A">
        <w:t xml:space="preserve">, and </w:t>
      </w:r>
      <w:r w:rsidR="00B84B74">
        <w:t xml:space="preserve">are </w:t>
      </w:r>
      <w:r w:rsidR="00B6156A">
        <w:t>ultimately appointed by the state’s appointing authority</w:t>
      </w:r>
      <w:r w:rsidR="00B6156A" w:rsidRPr="00B6156A">
        <w:t>.</w:t>
      </w:r>
      <w:r w:rsidR="00B6156A">
        <w:t xml:space="preserve">  </w:t>
      </w:r>
      <w:r w:rsidR="004F5450">
        <w:t xml:space="preserve">Child protective services workers </w:t>
      </w:r>
      <w:r w:rsidR="004556AD">
        <w:t>(</w:t>
      </w:r>
      <w:r w:rsidR="00B832F9">
        <w:t xml:space="preserve">i.e. caseload carrying workers, </w:t>
      </w:r>
      <w:r w:rsidR="004F5450">
        <w:t>regardless of whether they work as an investigator, an ongoing worker, or a generic worker</w:t>
      </w:r>
      <w:r w:rsidR="004556AD">
        <w:t>)</w:t>
      </w:r>
      <w:r w:rsidR="004F5450">
        <w:t xml:space="preserve"> a</w:t>
      </w:r>
      <w:r w:rsidR="00F22B43">
        <w:t>re classified</w:t>
      </w:r>
      <w:r w:rsidR="00B832F9">
        <w:t xml:space="preserve"> </w:t>
      </w:r>
      <w:r w:rsidR="00F22B43">
        <w:t>under four distinct titles which are separated based on the minimum requirements necessary to qualify under any title.  Caseload carrying workers and immediate supervisors are listed below and linked to their class specification information on the Kentucky Personnel Cabinet website</w:t>
      </w:r>
      <w:r w:rsidR="00956CE7">
        <w:t xml:space="preserve">.  </w:t>
      </w:r>
      <w:r w:rsidR="00763A6D">
        <w:t xml:space="preserve">  </w:t>
      </w:r>
    </w:p>
    <w:p w:rsidR="004F4969" w:rsidRDefault="004F4969" w:rsidP="00763A6D"/>
    <w:p w:rsidR="00F22B43" w:rsidRDefault="00F22B43" w:rsidP="00190EFA">
      <w:pPr>
        <w:pStyle w:val="ListParagraph"/>
        <w:ind w:left="0"/>
      </w:pPr>
    </w:p>
    <w:p w:rsidR="00F22B43" w:rsidRDefault="009F6B6E" w:rsidP="00F22B43">
      <w:pPr>
        <w:pStyle w:val="ListParagraph"/>
        <w:numPr>
          <w:ilvl w:val="0"/>
          <w:numId w:val="11"/>
        </w:numPr>
      </w:pPr>
      <w:hyperlink r:id="rId17" w:history="1">
        <w:r w:rsidR="00F22B43" w:rsidRPr="00A022B8">
          <w:rPr>
            <w:rStyle w:val="Hyperlink"/>
          </w:rPr>
          <w:t xml:space="preserve">Social </w:t>
        </w:r>
        <w:r w:rsidR="00F22B43">
          <w:rPr>
            <w:rStyle w:val="Hyperlink"/>
          </w:rPr>
          <w:t xml:space="preserve">Service </w:t>
        </w:r>
        <w:r w:rsidR="00F22B43" w:rsidRPr="00A022B8">
          <w:rPr>
            <w:rStyle w:val="Hyperlink"/>
          </w:rPr>
          <w:t>Worker I</w:t>
        </w:r>
      </w:hyperlink>
    </w:p>
    <w:p w:rsidR="00F22B43" w:rsidRDefault="009F6B6E" w:rsidP="00F22B43">
      <w:pPr>
        <w:pStyle w:val="ListParagraph"/>
        <w:numPr>
          <w:ilvl w:val="0"/>
          <w:numId w:val="11"/>
        </w:numPr>
      </w:pPr>
      <w:hyperlink r:id="rId18" w:history="1">
        <w:r w:rsidR="00F22B43" w:rsidRPr="00A022B8">
          <w:rPr>
            <w:rStyle w:val="Hyperlink"/>
          </w:rPr>
          <w:t xml:space="preserve">Social </w:t>
        </w:r>
        <w:r w:rsidR="00F22B43">
          <w:rPr>
            <w:rStyle w:val="Hyperlink"/>
          </w:rPr>
          <w:t xml:space="preserve">Service </w:t>
        </w:r>
        <w:r w:rsidR="00F22B43" w:rsidRPr="00A022B8">
          <w:rPr>
            <w:rStyle w:val="Hyperlink"/>
          </w:rPr>
          <w:t>Worker II</w:t>
        </w:r>
      </w:hyperlink>
      <w:r w:rsidR="00F22B43">
        <w:t xml:space="preserve">  </w:t>
      </w:r>
    </w:p>
    <w:p w:rsidR="00F22B43" w:rsidRDefault="009F6B6E" w:rsidP="00F22B43">
      <w:pPr>
        <w:pStyle w:val="ListParagraph"/>
        <w:numPr>
          <w:ilvl w:val="0"/>
          <w:numId w:val="11"/>
        </w:numPr>
      </w:pPr>
      <w:hyperlink r:id="rId19" w:history="1">
        <w:r w:rsidR="00F22B43" w:rsidRPr="00A022B8">
          <w:rPr>
            <w:rStyle w:val="Hyperlink"/>
          </w:rPr>
          <w:t>Social Service Clinician I</w:t>
        </w:r>
      </w:hyperlink>
    </w:p>
    <w:p w:rsidR="00F22B43" w:rsidRDefault="009F6B6E" w:rsidP="00F22B43">
      <w:pPr>
        <w:pStyle w:val="ListParagraph"/>
        <w:numPr>
          <w:ilvl w:val="0"/>
          <w:numId w:val="11"/>
        </w:numPr>
      </w:pPr>
      <w:hyperlink r:id="rId20" w:history="1">
        <w:r w:rsidR="00F22B43" w:rsidRPr="00A022B8">
          <w:rPr>
            <w:rStyle w:val="Hyperlink"/>
          </w:rPr>
          <w:t>Social Service Clinician II</w:t>
        </w:r>
      </w:hyperlink>
      <w:r w:rsidR="00F22B43">
        <w:t xml:space="preserve"> </w:t>
      </w:r>
    </w:p>
    <w:p w:rsidR="00F22B43" w:rsidRDefault="009F6B6E" w:rsidP="00F22B43">
      <w:pPr>
        <w:pStyle w:val="ListParagraph"/>
        <w:numPr>
          <w:ilvl w:val="0"/>
          <w:numId w:val="14"/>
        </w:numPr>
      </w:pPr>
      <w:hyperlink r:id="rId21" w:history="1">
        <w:r w:rsidR="00F22B43" w:rsidRPr="00A022B8">
          <w:rPr>
            <w:rStyle w:val="Hyperlink"/>
          </w:rPr>
          <w:t>Family Service Office Supervisor</w:t>
        </w:r>
      </w:hyperlink>
      <w:r w:rsidR="00F22B43">
        <w:t xml:space="preserve">  </w:t>
      </w:r>
    </w:p>
    <w:p w:rsidR="00F22B43" w:rsidRDefault="00F22B43" w:rsidP="00190EFA">
      <w:pPr>
        <w:pStyle w:val="ListParagraph"/>
        <w:ind w:left="0"/>
      </w:pPr>
    </w:p>
    <w:p w:rsidR="004F4969" w:rsidRDefault="004F4969" w:rsidP="00190EFA">
      <w:pPr>
        <w:pStyle w:val="ListParagraph"/>
        <w:ind w:left="0"/>
      </w:pPr>
    </w:p>
    <w:p w:rsidR="00436892" w:rsidRDefault="0098566C" w:rsidP="00190EFA">
      <w:pPr>
        <w:pStyle w:val="ListParagraph"/>
        <w:ind w:left="0"/>
      </w:pPr>
      <w:r>
        <w:t>Regions have the flexibility to deploy their leadership team based on the strengths of the personnel in regional positions.  I</w:t>
      </w:r>
      <w:r w:rsidR="00F22B43">
        <w:t>n some area</w:t>
      </w:r>
      <w:r w:rsidR="00956CE7">
        <w:t>s</w:t>
      </w:r>
      <w:r w:rsidR="00F22B43">
        <w:t xml:space="preserve">, </w:t>
      </w:r>
      <w:r w:rsidR="0081706F">
        <w:t xml:space="preserve">administrator associates and clinical associates supervise personnel and casework.  In other areas, administrator associates may only supervise personnel while the clinical associates is most often the </w:t>
      </w:r>
      <w:r w:rsidR="00F22B43">
        <w:t xml:space="preserve">line of authority for </w:t>
      </w:r>
      <w:r w:rsidR="00DE5D5D">
        <w:t>case decision making</w:t>
      </w:r>
      <w:r w:rsidR="0081706F">
        <w:t>.</w:t>
      </w:r>
      <w:r w:rsidR="00956CE7">
        <w:t xml:space="preserve"> </w:t>
      </w:r>
      <w:r w:rsidR="0081706F">
        <w:t xml:space="preserve"> Ultimately, regional structures guarantee that there is an associate available, with the necessary educational and experience, to guide casework decisions.  </w:t>
      </w:r>
      <w:r w:rsidR="00276941">
        <w:t>R</w:t>
      </w:r>
      <w:r w:rsidR="00956CE7">
        <w:t>egional positions</w:t>
      </w:r>
      <w:r w:rsidR="00B832F9">
        <w:t xml:space="preserve"> </w:t>
      </w:r>
      <w:r w:rsidR="00276941">
        <w:t xml:space="preserve">that supervise cases </w:t>
      </w:r>
      <w:r w:rsidR="00B832F9">
        <w:t>are cited below in increasing order.</w:t>
      </w:r>
      <w:r w:rsidR="00CE6058">
        <w:t xml:space="preserve">  </w:t>
      </w:r>
      <w:r w:rsidR="00956CE7">
        <w:t>Positions on the same row are of the same pay grade.  These positions generally work under the next applicable grade level:</w:t>
      </w:r>
    </w:p>
    <w:p w:rsidR="004F4969" w:rsidRDefault="004F4969" w:rsidP="00190EFA">
      <w:pPr>
        <w:pStyle w:val="ListParagraph"/>
      </w:pPr>
    </w:p>
    <w:p w:rsidR="0098566C" w:rsidRDefault="009F6B6E" w:rsidP="00B832F9">
      <w:pPr>
        <w:pStyle w:val="ListParagraph"/>
        <w:numPr>
          <w:ilvl w:val="0"/>
          <w:numId w:val="14"/>
        </w:numPr>
      </w:pPr>
      <w:hyperlink r:id="rId22" w:history="1">
        <w:r w:rsidR="00B832F9" w:rsidRPr="00A022B8">
          <w:rPr>
            <w:rStyle w:val="Hyperlink"/>
          </w:rPr>
          <w:t>Service Region Administrator Associate</w:t>
        </w:r>
        <w:r w:rsidR="003D134B">
          <w:rPr>
            <w:rStyle w:val="Hyperlink"/>
          </w:rPr>
          <w:t>;</w:t>
        </w:r>
        <w:r w:rsidR="003D134B" w:rsidRPr="0098566C">
          <w:rPr>
            <w:rStyle w:val="Hyperlink"/>
            <w:u w:val="none"/>
          </w:rPr>
          <w:t xml:space="preserve">  </w:t>
        </w:r>
      </w:hyperlink>
      <w:r w:rsidR="00956CE7">
        <w:tab/>
      </w:r>
      <w:hyperlink r:id="rId23" w:history="1">
        <w:r w:rsidR="003D134B" w:rsidRPr="00A022B8">
          <w:rPr>
            <w:rStyle w:val="Hyperlink"/>
          </w:rPr>
          <w:t>Service Region Clinical Associate</w:t>
        </w:r>
      </w:hyperlink>
      <w:r w:rsidR="00DE5D5D">
        <w:t xml:space="preserve"> </w:t>
      </w:r>
    </w:p>
    <w:p w:rsidR="00B832F9" w:rsidRDefault="009F6B6E" w:rsidP="00B832F9">
      <w:pPr>
        <w:pStyle w:val="ListParagraph"/>
        <w:numPr>
          <w:ilvl w:val="0"/>
          <w:numId w:val="14"/>
        </w:numPr>
      </w:pPr>
      <w:hyperlink r:id="rId24" w:history="1">
        <w:r w:rsidR="00B832F9" w:rsidRPr="00A022B8">
          <w:rPr>
            <w:rStyle w:val="Hyperlink"/>
          </w:rPr>
          <w:t>Service Region Administrator</w:t>
        </w:r>
      </w:hyperlink>
      <w:r w:rsidR="00A83F7D">
        <w:t xml:space="preserve"> </w:t>
      </w:r>
    </w:p>
    <w:p w:rsidR="004F4969" w:rsidRDefault="004F4969" w:rsidP="00B832F9"/>
    <w:p w:rsidR="00B832F9" w:rsidRDefault="001144AC" w:rsidP="00B832F9">
      <w:r>
        <w:t xml:space="preserve">Additional </w:t>
      </w:r>
      <w:r w:rsidR="00B832F9">
        <w:t xml:space="preserve">positions, </w:t>
      </w:r>
      <w:r>
        <w:t>designed to</w:t>
      </w:r>
      <w:r w:rsidR="00B832F9">
        <w:t xml:space="preserve"> perform a variety of clinical, direct service, or administrative functions—but who do not carry </w:t>
      </w:r>
      <w:r w:rsidR="00C174A5">
        <w:t xml:space="preserve">or supervise </w:t>
      </w:r>
      <w:r w:rsidR="00B832F9">
        <w:t>a caseload, are listed in increasing rows based on their level of responsibility within the agency</w:t>
      </w:r>
      <w:r w:rsidR="00B6156A">
        <w:t>:</w:t>
      </w:r>
    </w:p>
    <w:p w:rsidR="004F4969" w:rsidRDefault="004F4969" w:rsidP="00B832F9"/>
    <w:p w:rsidR="000C2904" w:rsidRDefault="009F6B6E" w:rsidP="00B6156A">
      <w:pPr>
        <w:pStyle w:val="ListParagraph"/>
        <w:numPr>
          <w:ilvl w:val="0"/>
          <w:numId w:val="15"/>
        </w:numPr>
      </w:pPr>
      <w:hyperlink r:id="rId25" w:history="1">
        <w:r w:rsidR="000C2904" w:rsidRPr="00A022B8">
          <w:rPr>
            <w:rStyle w:val="Hyperlink"/>
          </w:rPr>
          <w:t>Social Service Specialis</w:t>
        </w:r>
        <w:r w:rsidR="00956CE7">
          <w:rPr>
            <w:rStyle w:val="Hyperlink"/>
          </w:rPr>
          <w:t>t (a regional position</w:t>
        </w:r>
      </w:hyperlink>
      <w:r w:rsidR="00956CE7">
        <w:t>)</w:t>
      </w:r>
      <w:r w:rsidR="00CE6058">
        <w:t>;</w:t>
      </w:r>
      <w:r w:rsidR="001144AC">
        <w:t xml:space="preserve"> </w:t>
      </w:r>
      <w:r w:rsidR="00CE6058">
        <w:tab/>
      </w:r>
      <w:hyperlink r:id="rId26" w:history="1">
        <w:r w:rsidR="001144AC" w:rsidRPr="00F925B4">
          <w:rPr>
            <w:rStyle w:val="Hyperlink"/>
          </w:rPr>
          <w:t>Internal Policy Analyst III</w:t>
        </w:r>
      </w:hyperlink>
    </w:p>
    <w:p w:rsidR="001144AC" w:rsidRDefault="009F6B6E" w:rsidP="00B6156A">
      <w:pPr>
        <w:pStyle w:val="ListParagraph"/>
        <w:numPr>
          <w:ilvl w:val="0"/>
          <w:numId w:val="15"/>
        </w:numPr>
      </w:pPr>
      <w:hyperlink r:id="rId27" w:history="1">
        <w:r w:rsidR="001144AC" w:rsidRPr="00F925B4">
          <w:rPr>
            <w:rStyle w:val="Hyperlink"/>
          </w:rPr>
          <w:t>Human Service Program Branch Manager</w:t>
        </w:r>
      </w:hyperlink>
    </w:p>
    <w:p w:rsidR="00E13B5A" w:rsidRDefault="009F6B6E" w:rsidP="00B6156A">
      <w:pPr>
        <w:pStyle w:val="ListParagraph"/>
        <w:numPr>
          <w:ilvl w:val="0"/>
          <w:numId w:val="15"/>
        </w:numPr>
      </w:pPr>
      <w:hyperlink r:id="rId28" w:history="1">
        <w:r w:rsidR="001144AC" w:rsidRPr="00F925B4">
          <w:rPr>
            <w:rStyle w:val="Hyperlink"/>
          </w:rPr>
          <w:t>Assistant Director</w:t>
        </w:r>
      </w:hyperlink>
      <w:r w:rsidR="00E13B5A">
        <w:tab/>
      </w:r>
    </w:p>
    <w:p w:rsidR="001E5F47" w:rsidRDefault="001E5F47" w:rsidP="001E5F47"/>
    <w:p w:rsidR="004F4969" w:rsidRDefault="004F4969" w:rsidP="009E04E5"/>
    <w:p w:rsidR="004F4969" w:rsidRDefault="004F4969" w:rsidP="009E04E5"/>
    <w:p w:rsidR="004F4969" w:rsidRDefault="004F4969" w:rsidP="009E04E5"/>
    <w:p w:rsidR="004F4969" w:rsidRDefault="004F4969" w:rsidP="009E04E5"/>
    <w:p w:rsidR="00B6156A" w:rsidRDefault="00DE5D5D" w:rsidP="009E04E5">
      <w:r>
        <w:lastRenderedPageBreak/>
        <w:t>Class</w:t>
      </w:r>
      <w:r w:rsidR="00AF71E6">
        <w:t xml:space="preserve"> titles</w:t>
      </w:r>
      <w:r w:rsidR="00B6156A">
        <w:t xml:space="preserve"> </w:t>
      </w:r>
      <w:r w:rsidR="00043792">
        <w:t xml:space="preserve">are </w:t>
      </w:r>
      <w:r w:rsidR="00B6156A">
        <w:t>represented below</w:t>
      </w:r>
      <w:r w:rsidR="00BB7177">
        <w:t xml:space="preserve"> as </w:t>
      </w:r>
      <w:r w:rsidR="00AF71E6">
        <w:t xml:space="preserve">potential promotional paths for workers who may wish to promote upward, </w:t>
      </w:r>
      <w:r w:rsidR="00043792">
        <w:t>depend</w:t>
      </w:r>
      <w:r w:rsidR="00956CE7">
        <w:t xml:space="preserve">ing on their desire to supervise personnel </w:t>
      </w:r>
      <w:r w:rsidR="00276941">
        <w:t>and/</w:t>
      </w:r>
      <w:r w:rsidR="00956CE7">
        <w:t xml:space="preserve">or supervise cases.  </w:t>
      </w:r>
      <w:r w:rsidR="00B6156A">
        <w:t>All classifications are listed directly under the entity that is responsible for their direct supervision.</w:t>
      </w:r>
      <w:r w:rsidR="003D134B">
        <w:t xml:space="preserve">  </w:t>
      </w:r>
    </w:p>
    <w:p w:rsidR="00B6156A" w:rsidRDefault="00B6156A" w:rsidP="009E04E5"/>
    <w:tbl>
      <w:tblPr>
        <w:tblStyle w:val="TableGrid"/>
        <w:tblW w:w="11250" w:type="dxa"/>
        <w:tblInd w:w="-940" w:type="dxa"/>
        <w:tblLayout w:type="fixed"/>
        <w:tblLook w:val="04A0"/>
      </w:tblPr>
      <w:tblGrid>
        <w:gridCol w:w="828"/>
        <w:gridCol w:w="1350"/>
        <w:gridCol w:w="1440"/>
        <w:gridCol w:w="1872"/>
        <w:gridCol w:w="2970"/>
        <w:gridCol w:w="2790"/>
      </w:tblGrid>
      <w:tr w:rsidR="00043792" w:rsidTr="002238C4">
        <w:trPr>
          <w:trHeight w:val="395"/>
        </w:trPr>
        <w:tc>
          <w:tcPr>
            <w:tcW w:w="828" w:type="dxa"/>
            <w:vAlign w:val="center"/>
          </w:tcPr>
          <w:p w:rsidR="00043792" w:rsidRDefault="00043792" w:rsidP="00A83F7D">
            <w:r>
              <w:t>Grade</w:t>
            </w:r>
          </w:p>
        </w:tc>
        <w:tc>
          <w:tcPr>
            <w:tcW w:w="10422" w:type="dxa"/>
            <w:gridSpan w:val="5"/>
            <w:vAlign w:val="center"/>
          </w:tcPr>
          <w:p w:rsidR="00043792" w:rsidRDefault="00043792" w:rsidP="00BA5A94">
            <w:pPr>
              <w:ind w:left="180"/>
            </w:pPr>
          </w:p>
        </w:tc>
      </w:tr>
      <w:tr w:rsidR="001144AC" w:rsidTr="0098566C">
        <w:trPr>
          <w:trHeight w:val="404"/>
        </w:trPr>
        <w:tc>
          <w:tcPr>
            <w:tcW w:w="828" w:type="dxa"/>
            <w:vAlign w:val="center"/>
          </w:tcPr>
          <w:p w:rsidR="001144AC" w:rsidRDefault="001144AC" w:rsidP="00673DD0">
            <w:pPr>
              <w:ind w:left="180"/>
            </w:pPr>
            <w:r>
              <w:t>17</w:t>
            </w:r>
          </w:p>
        </w:tc>
        <w:tc>
          <w:tcPr>
            <w:tcW w:w="7632" w:type="dxa"/>
            <w:gridSpan w:val="4"/>
            <w:tcBorders>
              <w:bottom w:val="single" w:sz="4" w:space="0" w:color="auto"/>
            </w:tcBorders>
            <w:vAlign w:val="center"/>
          </w:tcPr>
          <w:p w:rsidR="001144AC" w:rsidRDefault="001144AC" w:rsidP="00B6156A">
            <w:pPr>
              <w:ind w:left="180"/>
              <w:jc w:val="center"/>
            </w:pPr>
            <w:r>
              <w:t>Service Region Administrator</w:t>
            </w:r>
          </w:p>
        </w:tc>
        <w:tc>
          <w:tcPr>
            <w:tcW w:w="2790" w:type="dxa"/>
            <w:vAlign w:val="center"/>
          </w:tcPr>
          <w:p w:rsidR="001144AC" w:rsidRDefault="001144AC" w:rsidP="001144AC">
            <w:pPr>
              <w:jc w:val="center"/>
            </w:pPr>
            <w:r>
              <w:t>Assistant Director</w:t>
            </w:r>
          </w:p>
        </w:tc>
      </w:tr>
      <w:tr w:rsidR="0098566C" w:rsidTr="0098566C">
        <w:trPr>
          <w:trHeight w:val="566"/>
        </w:trPr>
        <w:tc>
          <w:tcPr>
            <w:tcW w:w="828" w:type="dxa"/>
            <w:vAlign w:val="center"/>
          </w:tcPr>
          <w:p w:rsidR="0098566C" w:rsidRDefault="0098566C" w:rsidP="00673DD0">
            <w:pPr>
              <w:ind w:left="180"/>
            </w:pPr>
            <w:r>
              <w:t>16</w:t>
            </w:r>
          </w:p>
        </w:tc>
        <w:tc>
          <w:tcPr>
            <w:tcW w:w="7632" w:type="dxa"/>
            <w:gridSpan w:val="4"/>
            <w:tcBorders>
              <w:bottom w:val="nil"/>
            </w:tcBorders>
            <w:vAlign w:val="center"/>
          </w:tcPr>
          <w:p w:rsidR="0081706F" w:rsidRDefault="0081706F" w:rsidP="00B6156A">
            <w:pPr>
              <w:ind w:left="180"/>
              <w:jc w:val="center"/>
            </w:pPr>
          </w:p>
          <w:p w:rsidR="0098566C" w:rsidRDefault="0098566C" w:rsidP="00E02E95">
            <w:pPr>
              <w:ind w:left="180"/>
              <w:jc w:val="center"/>
            </w:pPr>
            <w:r>
              <w:t>Service Region Administrator Associate</w:t>
            </w:r>
          </w:p>
          <w:p w:rsidR="00E02E95" w:rsidRDefault="0081706F" w:rsidP="00B6156A">
            <w:pPr>
              <w:jc w:val="center"/>
            </w:pPr>
            <w:r>
              <w:t xml:space="preserve">                                        </w:t>
            </w:r>
          </w:p>
          <w:p w:rsidR="0098566C" w:rsidRDefault="0098566C" w:rsidP="00B6156A">
            <w:pPr>
              <w:jc w:val="center"/>
            </w:pPr>
            <w:r>
              <w:t>Service Region Clinical Associate</w:t>
            </w:r>
          </w:p>
          <w:p w:rsidR="00E02E95" w:rsidRDefault="00E02E95" w:rsidP="00B6156A">
            <w:pPr>
              <w:jc w:val="center"/>
            </w:pPr>
          </w:p>
        </w:tc>
        <w:tc>
          <w:tcPr>
            <w:tcW w:w="2790" w:type="dxa"/>
            <w:vAlign w:val="center"/>
          </w:tcPr>
          <w:p w:rsidR="0098566C" w:rsidRDefault="0098566C" w:rsidP="001144AC">
            <w:pPr>
              <w:jc w:val="center"/>
            </w:pPr>
            <w:r>
              <w:t>Human Service Program Branch Manager</w:t>
            </w:r>
          </w:p>
        </w:tc>
      </w:tr>
      <w:tr w:rsidR="001144AC" w:rsidTr="00E02E95">
        <w:trPr>
          <w:trHeight w:val="611"/>
        </w:trPr>
        <w:tc>
          <w:tcPr>
            <w:tcW w:w="828" w:type="dxa"/>
            <w:vAlign w:val="center"/>
          </w:tcPr>
          <w:p w:rsidR="001144AC" w:rsidRDefault="001144AC" w:rsidP="00673DD0">
            <w:pPr>
              <w:ind w:left="180"/>
            </w:pPr>
            <w:r>
              <w:t>15</w:t>
            </w:r>
          </w:p>
        </w:tc>
        <w:tc>
          <w:tcPr>
            <w:tcW w:w="2790" w:type="dxa"/>
            <w:gridSpan w:val="2"/>
            <w:tcBorders>
              <w:top w:val="single" w:sz="4" w:space="0" w:color="auto"/>
            </w:tcBorders>
            <w:vAlign w:val="center"/>
          </w:tcPr>
          <w:p w:rsidR="001144AC" w:rsidRDefault="001144AC" w:rsidP="00B6156A">
            <w:pPr>
              <w:ind w:left="-18"/>
              <w:jc w:val="center"/>
            </w:pPr>
            <w:r>
              <w:t>Family Service Office Supervisor</w:t>
            </w:r>
          </w:p>
        </w:tc>
        <w:tc>
          <w:tcPr>
            <w:tcW w:w="1872" w:type="dxa"/>
            <w:tcBorders>
              <w:top w:val="nil"/>
              <w:bottom w:val="nil"/>
              <w:right w:val="nil"/>
            </w:tcBorders>
            <w:shd w:val="clear" w:color="auto" w:fill="000000" w:themeFill="text1"/>
            <w:vAlign w:val="center"/>
          </w:tcPr>
          <w:p w:rsidR="001144AC" w:rsidRDefault="001144AC" w:rsidP="00B6156A">
            <w:pPr>
              <w:ind w:left="-18"/>
              <w:jc w:val="center"/>
            </w:pPr>
          </w:p>
        </w:tc>
        <w:tc>
          <w:tcPr>
            <w:tcW w:w="2970" w:type="dxa"/>
            <w:tcBorders>
              <w:top w:val="nil"/>
              <w:left w:val="nil"/>
              <w:bottom w:val="nil"/>
            </w:tcBorders>
            <w:shd w:val="clear" w:color="auto" w:fill="000000" w:themeFill="text1"/>
            <w:vAlign w:val="center"/>
          </w:tcPr>
          <w:p w:rsidR="001144AC" w:rsidRDefault="001144AC" w:rsidP="00673DD0">
            <w:pPr>
              <w:ind w:left="180"/>
            </w:pPr>
          </w:p>
        </w:tc>
        <w:tc>
          <w:tcPr>
            <w:tcW w:w="2790" w:type="dxa"/>
            <w:shd w:val="clear" w:color="auto" w:fill="auto"/>
            <w:vAlign w:val="center"/>
          </w:tcPr>
          <w:p w:rsidR="001144AC" w:rsidRDefault="001144AC" w:rsidP="001144AC">
            <w:pPr>
              <w:jc w:val="center"/>
            </w:pPr>
            <w:r>
              <w:t>Internal Policy</w:t>
            </w:r>
          </w:p>
          <w:p w:rsidR="001144AC" w:rsidRDefault="001144AC" w:rsidP="001144AC">
            <w:pPr>
              <w:jc w:val="center"/>
            </w:pPr>
            <w:r>
              <w:t>Analyst III</w:t>
            </w:r>
          </w:p>
        </w:tc>
      </w:tr>
      <w:tr w:rsidR="0098566C" w:rsidTr="0081706F">
        <w:tc>
          <w:tcPr>
            <w:tcW w:w="828" w:type="dxa"/>
            <w:vAlign w:val="center"/>
          </w:tcPr>
          <w:p w:rsidR="0098566C" w:rsidRDefault="0098566C" w:rsidP="00673DD0">
            <w:pPr>
              <w:ind w:left="180"/>
            </w:pPr>
            <w:r>
              <w:t>14</w:t>
            </w:r>
          </w:p>
        </w:tc>
        <w:tc>
          <w:tcPr>
            <w:tcW w:w="1350" w:type="dxa"/>
            <w:vAlign w:val="center"/>
          </w:tcPr>
          <w:p w:rsidR="0098566C" w:rsidRDefault="0098566C" w:rsidP="00790DE1">
            <w:pPr>
              <w:ind w:left="-18"/>
            </w:pPr>
            <w:r>
              <w:t>Social Service Clinician I</w:t>
            </w:r>
          </w:p>
        </w:tc>
        <w:tc>
          <w:tcPr>
            <w:tcW w:w="1440" w:type="dxa"/>
            <w:vAlign w:val="center"/>
          </w:tcPr>
          <w:p w:rsidR="0098566C" w:rsidRDefault="0098566C" w:rsidP="00790DE1">
            <w:pPr>
              <w:ind w:left="-18"/>
            </w:pPr>
            <w:r>
              <w:t>Social Service Clinician II</w:t>
            </w:r>
          </w:p>
        </w:tc>
        <w:tc>
          <w:tcPr>
            <w:tcW w:w="4842" w:type="dxa"/>
            <w:gridSpan w:val="2"/>
            <w:shd w:val="clear" w:color="auto" w:fill="FFFFFF" w:themeFill="background1"/>
            <w:vAlign w:val="center"/>
          </w:tcPr>
          <w:p w:rsidR="0098566C" w:rsidRDefault="0098566C" w:rsidP="00673DD0">
            <w:pPr>
              <w:ind w:left="180"/>
            </w:pPr>
            <w:r>
              <w:t>Social Service Specialist</w:t>
            </w:r>
          </w:p>
        </w:tc>
        <w:tc>
          <w:tcPr>
            <w:tcW w:w="2790" w:type="dxa"/>
            <w:shd w:val="clear" w:color="auto" w:fill="000000" w:themeFill="text1"/>
          </w:tcPr>
          <w:p w:rsidR="0098566C" w:rsidRDefault="0098566C" w:rsidP="00673DD0">
            <w:pPr>
              <w:ind w:left="180"/>
            </w:pPr>
          </w:p>
        </w:tc>
      </w:tr>
      <w:tr w:rsidR="0098566C" w:rsidTr="0081706F">
        <w:tc>
          <w:tcPr>
            <w:tcW w:w="828" w:type="dxa"/>
            <w:vAlign w:val="center"/>
          </w:tcPr>
          <w:p w:rsidR="0098566C" w:rsidRDefault="0098566C" w:rsidP="00673DD0">
            <w:pPr>
              <w:ind w:left="180"/>
            </w:pPr>
            <w:r>
              <w:t>13</w:t>
            </w:r>
          </w:p>
        </w:tc>
        <w:tc>
          <w:tcPr>
            <w:tcW w:w="1350" w:type="dxa"/>
            <w:vAlign w:val="center"/>
          </w:tcPr>
          <w:p w:rsidR="0098566C" w:rsidRDefault="0098566C" w:rsidP="00BA5A94">
            <w:r>
              <w:t>Social Service Worker I</w:t>
            </w:r>
          </w:p>
        </w:tc>
        <w:tc>
          <w:tcPr>
            <w:tcW w:w="1440" w:type="dxa"/>
            <w:vAlign w:val="center"/>
          </w:tcPr>
          <w:p w:rsidR="0098566C" w:rsidRDefault="0098566C" w:rsidP="00BA5A94">
            <w:r>
              <w:t>Social Service Worker II</w:t>
            </w:r>
          </w:p>
        </w:tc>
        <w:tc>
          <w:tcPr>
            <w:tcW w:w="1872" w:type="dxa"/>
            <w:shd w:val="clear" w:color="auto" w:fill="000000" w:themeFill="text1"/>
            <w:vAlign w:val="center"/>
          </w:tcPr>
          <w:p w:rsidR="0098566C" w:rsidRDefault="0098566C" w:rsidP="00673DD0"/>
        </w:tc>
        <w:tc>
          <w:tcPr>
            <w:tcW w:w="2970" w:type="dxa"/>
            <w:shd w:val="clear" w:color="auto" w:fill="000000" w:themeFill="text1"/>
            <w:vAlign w:val="center"/>
          </w:tcPr>
          <w:p w:rsidR="0098566C" w:rsidRDefault="0098566C" w:rsidP="00673DD0"/>
        </w:tc>
        <w:tc>
          <w:tcPr>
            <w:tcW w:w="2790" w:type="dxa"/>
            <w:shd w:val="clear" w:color="auto" w:fill="000000" w:themeFill="text1"/>
          </w:tcPr>
          <w:p w:rsidR="0098566C" w:rsidRDefault="0098566C" w:rsidP="00673DD0"/>
        </w:tc>
      </w:tr>
    </w:tbl>
    <w:p w:rsidR="00BF4C7C" w:rsidRDefault="00043792" w:rsidP="00043792">
      <w:pPr>
        <w:jc w:val="center"/>
      </w:pPr>
      <w:r>
        <w:t>*</w:t>
      </w:r>
      <w:r w:rsidR="00BF4C7C">
        <w:t>Leadership positions above a grade 17</w:t>
      </w:r>
      <w:r w:rsidRPr="00043792">
        <w:t xml:space="preserve"> are non-classified, </w:t>
      </w:r>
    </w:p>
    <w:p w:rsidR="001E5F47" w:rsidRDefault="00043792" w:rsidP="00043792">
      <w:pPr>
        <w:jc w:val="center"/>
      </w:pPr>
      <w:r w:rsidRPr="00043792">
        <w:t>i.e. appointed by the current administration.</w:t>
      </w:r>
    </w:p>
    <w:p w:rsidR="00277B9F" w:rsidRDefault="00277B9F" w:rsidP="009E04E5">
      <w:pPr>
        <w:jc w:val="center"/>
        <w:rPr>
          <w:u w:val="single"/>
        </w:rPr>
      </w:pPr>
    </w:p>
    <w:p w:rsidR="004F4969" w:rsidRDefault="004F4969" w:rsidP="009E04E5">
      <w:pPr>
        <w:jc w:val="center"/>
        <w:rPr>
          <w:u w:val="single"/>
        </w:rPr>
      </w:pPr>
    </w:p>
    <w:p w:rsidR="009E04E5" w:rsidRPr="00E13B5A" w:rsidRDefault="009E04E5" w:rsidP="009E04E5">
      <w:pPr>
        <w:jc w:val="center"/>
        <w:rPr>
          <w:u w:val="single"/>
        </w:rPr>
      </w:pPr>
      <w:r w:rsidRPr="00E13B5A">
        <w:rPr>
          <w:u w:val="single"/>
        </w:rPr>
        <w:t xml:space="preserve">Demographic </w:t>
      </w:r>
      <w:r>
        <w:rPr>
          <w:u w:val="single"/>
        </w:rPr>
        <w:t>I</w:t>
      </w:r>
      <w:r w:rsidRPr="00E13B5A">
        <w:rPr>
          <w:u w:val="single"/>
        </w:rPr>
        <w:t>nformation</w:t>
      </w:r>
      <w:r>
        <w:rPr>
          <w:u w:val="single"/>
        </w:rPr>
        <w:t xml:space="preserve"> and </w:t>
      </w:r>
    </w:p>
    <w:p w:rsidR="004668F6" w:rsidRPr="00E13B5A" w:rsidRDefault="00E13B5A" w:rsidP="00E13B5A">
      <w:pPr>
        <w:jc w:val="center"/>
        <w:rPr>
          <w:u w:val="single"/>
        </w:rPr>
      </w:pPr>
      <w:r>
        <w:rPr>
          <w:u w:val="single"/>
        </w:rPr>
        <w:t>E</w:t>
      </w:r>
      <w:r w:rsidR="004668F6" w:rsidRPr="00E13B5A">
        <w:rPr>
          <w:u w:val="single"/>
        </w:rPr>
        <w:t xml:space="preserve">ducation, </w:t>
      </w:r>
      <w:r>
        <w:rPr>
          <w:u w:val="single"/>
        </w:rPr>
        <w:t>T</w:t>
      </w:r>
      <w:r w:rsidR="004668F6" w:rsidRPr="00E13B5A">
        <w:rPr>
          <w:u w:val="single"/>
        </w:rPr>
        <w:t xml:space="preserve">raining and </w:t>
      </w:r>
      <w:r>
        <w:rPr>
          <w:u w:val="single"/>
        </w:rPr>
        <w:t>Q</w:t>
      </w:r>
      <w:r w:rsidR="006A7040" w:rsidRPr="00E13B5A">
        <w:rPr>
          <w:u w:val="single"/>
        </w:rPr>
        <w:t>ualifications</w:t>
      </w:r>
      <w:r w:rsidR="004668F6" w:rsidRPr="00E13B5A">
        <w:rPr>
          <w:u w:val="single"/>
        </w:rPr>
        <w:t xml:space="preserve"> of </w:t>
      </w:r>
      <w:r>
        <w:rPr>
          <w:u w:val="single"/>
        </w:rPr>
        <w:t>I</w:t>
      </w:r>
      <w:r w:rsidR="004668F6" w:rsidRPr="00E13B5A">
        <w:rPr>
          <w:u w:val="single"/>
        </w:rPr>
        <w:t>nvestigators</w:t>
      </w:r>
    </w:p>
    <w:p w:rsidR="00A31FC2" w:rsidRDefault="003F7A3F" w:rsidP="00436892">
      <w:r>
        <w:t>The table</w:t>
      </w:r>
      <w:r w:rsidR="00C174A5">
        <w:t>s</w:t>
      </w:r>
      <w:r>
        <w:t xml:space="preserve"> below provide demographic information for caseload workers and their supervisors.  </w:t>
      </w:r>
      <w:r w:rsidR="00EC4AB5">
        <w:t>For the purpose of this report, “workers” refers to anyone working under the following classifications:  Social Service Worker I, Social Service Worker II, Social Service Clinician I, and Social Service Clinician II.</w:t>
      </w:r>
      <w:r w:rsidR="00A31FC2" w:rsidRPr="00A31FC2">
        <w:t xml:space="preserve"> </w:t>
      </w:r>
    </w:p>
    <w:p w:rsidR="00A31FC2" w:rsidRDefault="00A31FC2" w:rsidP="00436892"/>
    <w:p w:rsidR="003F7A3F" w:rsidRDefault="00A31FC2" w:rsidP="00C174A5">
      <w:pPr>
        <w:jc w:val="center"/>
      </w:pPr>
      <w:r>
        <w:t>Demographic Information Table</w:t>
      </w:r>
      <w:r w:rsidR="00C174A5">
        <w:t>s and Discussion</w:t>
      </w:r>
    </w:p>
    <w:tbl>
      <w:tblPr>
        <w:tblStyle w:val="TableGrid"/>
        <w:tblW w:w="8582" w:type="dxa"/>
        <w:jc w:val="center"/>
        <w:tblInd w:w="-211" w:type="dxa"/>
        <w:tblCellMar>
          <w:left w:w="29" w:type="dxa"/>
          <w:right w:w="29" w:type="dxa"/>
        </w:tblCellMar>
        <w:tblLook w:val="04A0"/>
      </w:tblPr>
      <w:tblGrid>
        <w:gridCol w:w="1154"/>
        <w:gridCol w:w="2160"/>
        <w:gridCol w:w="1777"/>
        <w:gridCol w:w="1961"/>
        <w:gridCol w:w="1530"/>
      </w:tblGrid>
      <w:tr w:rsidR="00E8456B" w:rsidTr="00E8456B">
        <w:trPr>
          <w:jc w:val="center"/>
        </w:trPr>
        <w:tc>
          <w:tcPr>
            <w:tcW w:w="1154" w:type="dxa"/>
            <w:shd w:val="clear" w:color="auto" w:fill="auto"/>
            <w:vAlign w:val="center"/>
          </w:tcPr>
          <w:p w:rsidR="00E8456B" w:rsidRPr="00A31FC2" w:rsidRDefault="00E8456B" w:rsidP="00A07C6A">
            <w:pPr>
              <w:pStyle w:val="ListParagraph"/>
              <w:ind w:left="0"/>
              <w:rPr>
                <w:sz w:val="20"/>
                <w:szCs w:val="20"/>
              </w:rPr>
            </w:pPr>
          </w:p>
        </w:tc>
        <w:tc>
          <w:tcPr>
            <w:tcW w:w="2160" w:type="dxa"/>
            <w:vAlign w:val="center"/>
          </w:tcPr>
          <w:p w:rsidR="00E8456B" w:rsidRPr="00A31FC2" w:rsidRDefault="00E8456B" w:rsidP="00A07C6A">
            <w:pPr>
              <w:pStyle w:val="ListParagraph"/>
              <w:ind w:left="0"/>
              <w:rPr>
                <w:sz w:val="20"/>
                <w:szCs w:val="20"/>
              </w:rPr>
            </w:pPr>
            <w:r w:rsidRPr="00A31FC2">
              <w:rPr>
                <w:sz w:val="20"/>
                <w:szCs w:val="20"/>
              </w:rPr>
              <w:t xml:space="preserve">Age </w:t>
            </w:r>
          </w:p>
          <w:p w:rsidR="00E8456B" w:rsidRPr="00A31FC2" w:rsidRDefault="00E8456B" w:rsidP="00A07C6A">
            <w:pPr>
              <w:pStyle w:val="ListParagraph"/>
              <w:ind w:left="0"/>
              <w:rPr>
                <w:sz w:val="20"/>
                <w:szCs w:val="20"/>
              </w:rPr>
            </w:pPr>
            <w:r w:rsidRPr="00A31FC2">
              <w:rPr>
                <w:sz w:val="20"/>
                <w:szCs w:val="20"/>
              </w:rPr>
              <w:t>(% at indicated increments)</w:t>
            </w:r>
          </w:p>
        </w:tc>
        <w:tc>
          <w:tcPr>
            <w:tcW w:w="1777" w:type="dxa"/>
          </w:tcPr>
          <w:p w:rsidR="00E8456B" w:rsidRPr="00A31FC2" w:rsidRDefault="00E8456B" w:rsidP="00A07C6A">
            <w:pPr>
              <w:pStyle w:val="ListParagraph"/>
              <w:ind w:left="0"/>
              <w:rPr>
                <w:sz w:val="20"/>
                <w:szCs w:val="20"/>
              </w:rPr>
            </w:pPr>
            <w:r w:rsidRPr="00A31FC2">
              <w:rPr>
                <w:sz w:val="20"/>
                <w:szCs w:val="20"/>
              </w:rPr>
              <w:t>Gender</w:t>
            </w:r>
          </w:p>
          <w:p w:rsidR="00E8456B" w:rsidRPr="00A31FC2" w:rsidRDefault="00E8456B" w:rsidP="00A07C6A">
            <w:pPr>
              <w:pStyle w:val="ListParagraph"/>
              <w:ind w:left="0"/>
              <w:rPr>
                <w:sz w:val="20"/>
                <w:szCs w:val="20"/>
              </w:rPr>
            </w:pPr>
            <w:r w:rsidRPr="00A31FC2">
              <w:rPr>
                <w:sz w:val="20"/>
                <w:szCs w:val="20"/>
              </w:rPr>
              <w:t>(F=female, M=male)</w:t>
            </w:r>
          </w:p>
        </w:tc>
        <w:tc>
          <w:tcPr>
            <w:tcW w:w="1961" w:type="dxa"/>
          </w:tcPr>
          <w:p w:rsidR="00E8456B" w:rsidRPr="00A31FC2" w:rsidRDefault="00E8456B" w:rsidP="00A31FC2">
            <w:pPr>
              <w:pStyle w:val="ListParagraph"/>
              <w:ind w:left="0"/>
              <w:rPr>
                <w:sz w:val="20"/>
                <w:szCs w:val="20"/>
              </w:rPr>
            </w:pPr>
            <w:r w:rsidRPr="00A31FC2">
              <w:rPr>
                <w:sz w:val="20"/>
                <w:szCs w:val="20"/>
              </w:rPr>
              <w:t xml:space="preserve">Years of Service </w:t>
            </w:r>
          </w:p>
          <w:p w:rsidR="00E8456B" w:rsidRPr="00A31FC2" w:rsidRDefault="00E8456B" w:rsidP="00A31FC2">
            <w:pPr>
              <w:pStyle w:val="ListParagraph"/>
              <w:ind w:left="0"/>
              <w:rPr>
                <w:sz w:val="20"/>
                <w:szCs w:val="20"/>
              </w:rPr>
            </w:pPr>
            <w:r w:rsidRPr="00A31FC2">
              <w:rPr>
                <w:sz w:val="20"/>
                <w:szCs w:val="20"/>
              </w:rPr>
              <w:t>(% at indicated increments)</w:t>
            </w:r>
          </w:p>
        </w:tc>
        <w:tc>
          <w:tcPr>
            <w:tcW w:w="1530" w:type="dxa"/>
            <w:vAlign w:val="center"/>
          </w:tcPr>
          <w:p w:rsidR="00E8456B" w:rsidRPr="00A31FC2" w:rsidRDefault="00E8456B" w:rsidP="00A07C6A">
            <w:pPr>
              <w:pStyle w:val="ListParagraph"/>
              <w:ind w:left="0"/>
              <w:rPr>
                <w:sz w:val="20"/>
                <w:szCs w:val="20"/>
              </w:rPr>
            </w:pPr>
            <w:r w:rsidRPr="00A31FC2">
              <w:rPr>
                <w:sz w:val="20"/>
                <w:szCs w:val="20"/>
              </w:rPr>
              <w:t>Educational Background</w:t>
            </w:r>
          </w:p>
          <w:p w:rsidR="00E8456B" w:rsidRPr="00A31FC2" w:rsidRDefault="00E8456B" w:rsidP="00CE6058">
            <w:pPr>
              <w:pStyle w:val="ListParagraph"/>
              <w:ind w:left="0"/>
              <w:rPr>
                <w:sz w:val="20"/>
                <w:szCs w:val="20"/>
              </w:rPr>
            </w:pPr>
            <w:r w:rsidRPr="00A31FC2">
              <w:rPr>
                <w:sz w:val="20"/>
                <w:szCs w:val="20"/>
              </w:rPr>
              <w:t>(% with degree by degree type)</w:t>
            </w:r>
          </w:p>
        </w:tc>
      </w:tr>
      <w:tr w:rsidR="00E8456B" w:rsidTr="00E8456B">
        <w:trPr>
          <w:trHeight w:val="413"/>
          <w:jc w:val="center"/>
        </w:trPr>
        <w:tc>
          <w:tcPr>
            <w:tcW w:w="1154" w:type="dxa"/>
            <w:vAlign w:val="center"/>
          </w:tcPr>
          <w:p w:rsidR="00E8456B" w:rsidRPr="00A31FC2" w:rsidRDefault="00E8456B" w:rsidP="0019614A">
            <w:pPr>
              <w:pStyle w:val="ListParagraph"/>
              <w:ind w:left="0"/>
              <w:rPr>
                <w:sz w:val="20"/>
                <w:szCs w:val="20"/>
              </w:rPr>
            </w:pPr>
            <w:r w:rsidRPr="00A31FC2">
              <w:rPr>
                <w:sz w:val="20"/>
                <w:szCs w:val="20"/>
              </w:rPr>
              <w:t>Workers</w:t>
            </w:r>
          </w:p>
        </w:tc>
        <w:tc>
          <w:tcPr>
            <w:tcW w:w="2160" w:type="dxa"/>
            <w:vAlign w:val="center"/>
          </w:tcPr>
          <w:p w:rsidR="00E8456B" w:rsidRDefault="00E8456B" w:rsidP="00F925B4">
            <w:pPr>
              <w:pStyle w:val="ListParagraph"/>
              <w:ind w:left="0"/>
              <w:rPr>
                <w:sz w:val="20"/>
                <w:szCs w:val="20"/>
              </w:rPr>
            </w:pPr>
            <w:r>
              <w:rPr>
                <w:sz w:val="20"/>
                <w:szCs w:val="20"/>
              </w:rPr>
              <w:t xml:space="preserve">21 – 30 years:  26.1%   </w:t>
            </w:r>
          </w:p>
          <w:p w:rsidR="00E8456B" w:rsidRDefault="00E8456B" w:rsidP="00F925B4">
            <w:pPr>
              <w:pStyle w:val="ListParagraph"/>
              <w:ind w:left="0"/>
              <w:rPr>
                <w:sz w:val="20"/>
                <w:szCs w:val="20"/>
              </w:rPr>
            </w:pPr>
            <w:r>
              <w:rPr>
                <w:sz w:val="20"/>
                <w:szCs w:val="20"/>
              </w:rPr>
              <w:t xml:space="preserve">31 – 40 years:  40.7%   </w:t>
            </w:r>
          </w:p>
          <w:p w:rsidR="00E8456B" w:rsidRDefault="00E8456B" w:rsidP="00F925B4">
            <w:pPr>
              <w:pStyle w:val="ListParagraph"/>
              <w:ind w:left="0"/>
              <w:rPr>
                <w:sz w:val="20"/>
                <w:szCs w:val="20"/>
              </w:rPr>
            </w:pPr>
            <w:r>
              <w:rPr>
                <w:sz w:val="20"/>
                <w:szCs w:val="20"/>
              </w:rPr>
              <w:t xml:space="preserve">41 – 50 years:  20.4%   </w:t>
            </w:r>
          </w:p>
          <w:p w:rsidR="00E8456B" w:rsidRPr="00A31FC2" w:rsidRDefault="00E8456B" w:rsidP="00E47C4D">
            <w:pPr>
              <w:pStyle w:val="ListParagraph"/>
              <w:ind w:left="0"/>
              <w:jc w:val="center"/>
              <w:rPr>
                <w:sz w:val="20"/>
                <w:szCs w:val="20"/>
              </w:rPr>
            </w:pPr>
            <w:r>
              <w:rPr>
                <w:sz w:val="20"/>
                <w:szCs w:val="20"/>
              </w:rPr>
              <w:t>50+ years:  12.3%</w:t>
            </w:r>
          </w:p>
        </w:tc>
        <w:tc>
          <w:tcPr>
            <w:tcW w:w="1777" w:type="dxa"/>
            <w:vAlign w:val="center"/>
          </w:tcPr>
          <w:p w:rsidR="00E8456B" w:rsidRPr="00A31FC2" w:rsidRDefault="00E8456B" w:rsidP="00F925B4">
            <w:pPr>
              <w:pStyle w:val="ListParagraph"/>
              <w:ind w:left="0"/>
              <w:rPr>
                <w:sz w:val="20"/>
                <w:szCs w:val="20"/>
              </w:rPr>
            </w:pPr>
            <w:r w:rsidRPr="00A31FC2">
              <w:rPr>
                <w:sz w:val="20"/>
                <w:szCs w:val="20"/>
              </w:rPr>
              <w:t>84.0%</w:t>
            </w:r>
            <w:r>
              <w:rPr>
                <w:sz w:val="20"/>
                <w:szCs w:val="20"/>
              </w:rPr>
              <w:t xml:space="preserve"> </w:t>
            </w:r>
            <w:r w:rsidRPr="00A31FC2">
              <w:rPr>
                <w:sz w:val="20"/>
                <w:szCs w:val="20"/>
              </w:rPr>
              <w:t xml:space="preserve"> female</w:t>
            </w:r>
          </w:p>
          <w:p w:rsidR="00E8456B" w:rsidRDefault="00E8456B" w:rsidP="00F925B4">
            <w:pPr>
              <w:pStyle w:val="ListParagraph"/>
              <w:ind w:left="0"/>
              <w:rPr>
                <w:sz w:val="20"/>
                <w:szCs w:val="20"/>
              </w:rPr>
            </w:pPr>
          </w:p>
          <w:p w:rsidR="00E8456B" w:rsidRPr="00A31FC2" w:rsidRDefault="00E8456B" w:rsidP="00F925B4">
            <w:pPr>
              <w:pStyle w:val="ListParagraph"/>
              <w:ind w:left="0"/>
              <w:rPr>
                <w:sz w:val="20"/>
                <w:szCs w:val="20"/>
              </w:rPr>
            </w:pPr>
            <w:r w:rsidRPr="00A31FC2">
              <w:rPr>
                <w:sz w:val="20"/>
                <w:szCs w:val="20"/>
              </w:rPr>
              <w:t xml:space="preserve">16.0% </w:t>
            </w:r>
            <w:r>
              <w:rPr>
                <w:sz w:val="20"/>
                <w:szCs w:val="20"/>
              </w:rPr>
              <w:t xml:space="preserve"> </w:t>
            </w:r>
            <w:r w:rsidRPr="00A31FC2">
              <w:rPr>
                <w:sz w:val="20"/>
                <w:szCs w:val="20"/>
              </w:rPr>
              <w:t>male</w:t>
            </w:r>
          </w:p>
        </w:tc>
        <w:tc>
          <w:tcPr>
            <w:tcW w:w="1961" w:type="dxa"/>
          </w:tcPr>
          <w:p w:rsidR="00E8456B" w:rsidRPr="00A31FC2" w:rsidRDefault="00E8456B" w:rsidP="0019614A">
            <w:pPr>
              <w:pStyle w:val="ListParagraph"/>
              <w:ind w:left="0"/>
              <w:rPr>
                <w:sz w:val="20"/>
                <w:szCs w:val="20"/>
              </w:rPr>
            </w:pPr>
            <w:r>
              <w:rPr>
                <w:sz w:val="20"/>
                <w:szCs w:val="20"/>
              </w:rPr>
              <w:t>0</w:t>
            </w:r>
            <w:r w:rsidRPr="00A31FC2">
              <w:rPr>
                <w:sz w:val="20"/>
                <w:szCs w:val="20"/>
              </w:rPr>
              <w:t>0</w:t>
            </w:r>
            <w:r>
              <w:rPr>
                <w:sz w:val="20"/>
                <w:szCs w:val="20"/>
              </w:rPr>
              <w:t>-</w:t>
            </w:r>
            <w:r w:rsidRPr="00A31FC2">
              <w:rPr>
                <w:sz w:val="20"/>
                <w:szCs w:val="20"/>
              </w:rPr>
              <w:t>5 years</w:t>
            </w:r>
            <w:r>
              <w:rPr>
                <w:sz w:val="20"/>
                <w:szCs w:val="20"/>
              </w:rPr>
              <w:t xml:space="preserve">:  </w:t>
            </w:r>
            <w:r w:rsidR="00E44813">
              <w:rPr>
                <w:sz w:val="20"/>
                <w:szCs w:val="20"/>
              </w:rPr>
              <w:t xml:space="preserve">  46.7</w:t>
            </w:r>
            <w:r>
              <w:rPr>
                <w:sz w:val="20"/>
                <w:szCs w:val="20"/>
              </w:rPr>
              <w:t xml:space="preserve">% </w:t>
            </w:r>
            <w:r w:rsidRPr="00A31FC2">
              <w:rPr>
                <w:sz w:val="20"/>
                <w:szCs w:val="20"/>
              </w:rPr>
              <w:t xml:space="preserve"> </w:t>
            </w:r>
            <w:r>
              <w:rPr>
                <w:sz w:val="20"/>
                <w:szCs w:val="20"/>
              </w:rPr>
              <w:t xml:space="preserve"> </w:t>
            </w:r>
          </w:p>
          <w:p w:rsidR="00E8456B" w:rsidRPr="00A31FC2" w:rsidRDefault="00E8456B" w:rsidP="0019614A">
            <w:pPr>
              <w:pStyle w:val="ListParagraph"/>
              <w:ind w:left="0"/>
              <w:rPr>
                <w:sz w:val="20"/>
                <w:szCs w:val="20"/>
              </w:rPr>
            </w:pPr>
            <w:r>
              <w:rPr>
                <w:sz w:val="20"/>
                <w:szCs w:val="20"/>
              </w:rPr>
              <w:t>0</w:t>
            </w:r>
            <w:r w:rsidRPr="00A31FC2">
              <w:rPr>
                <w:sz w:val="20"/>
                <w:szCs w:val="20"/>
              </w:rPr>
              <w:t>6</w:t>
            </w:r>
            <w:r>
              <w:rPr>
                <w:sz w:val="20"/>
                <w:szCs w:val="20"/>
              </w:rPr>
              <w:t>-</w:t>
            </w:r>
            <w:r w:rsidRPr="00A31FC2">
              <w:rPr>
                <w:sz w:val="20"/>
                <w:szCs w:val="20"/>
              </w:rPr>
              <w:t>10 years</w:t>
            </w:r>
            <w:r>
              <w:rPr>
                <w:sz w:val="20"/>
                <w:szCs w:val="20"/>
              </w:rPr>
              <w:t>:</w:t>
            </w:r>
            <w:r w:rsidRPr="00A31FC2">
              <w:rPr>
                <w:sz w:val="20"/>
                <w:szCs w:val="20"/>
              </w:rPr>
              <w:t xml:space="preserve"> </w:t>
            </w:r>
            <w:r>
              <w:rPr>
                <w:sz w:val="20"/>
                <w:szCs w:val="20"/>
              </w:rPr>
              <w:t xml:space="preserve"> 28.1</w:t>
            </w:r>
            <w:r w:rsidRPr="00A31FC2">
              <w:rPr>
                <w:sz w:val="20"/>
                <w:szCs w:val="20"/>
              </w:rPr>
              <w:t xml:space="preserve">% </w:t>
            </w:r>
            <w:r>
              <w:rPr>
                <w:sz w:val="20"/>
                <w:szCs w:val="20"/>
              </w:rPr>
              <w:t xml:space="preserve">  </w:t>
            </w:r>
          </w:p>
          <w:p w:rsidR="00E8456B" w:rsidRDefault="00E8456B" w:rsidP="00727AAB">
            <w:pPr>
              <w:pStyle w:val="ListParagraph"/>
              <w:ind w:left="0"/>
              <w:rPr>
                <w:sz w:val="20"/>
                <w:szCs w:val="20"/>
              </w:rPr>
            </w:pPr>
            <w:r w:rsidRPr="00A31FC2">
              <w:rPr>
                <w:sz w:val="20"/>
                <w:szCs w:val="20"/>
              </w:rPr>
              <w:t>11</w:t>
            </w:r>
            <w:r>
              <w:rPr>
                <w:sz w:val="20"/>
                <w:szCs w:val="20"/>
              </w:rPr>
              <w:t xml:space="preserve">-15 </w:t>
            </w:r>
            <w:r w:rsidRPr="00A31FC2">
              <w:rPr>
                <w:sz w:val="20"/>
                <w:szCs w:val="20"/>
              </w:rPr>
              <w:t>years</w:t>
            </w:r>
            <w:r>
              <w:rPr>
                <w:sz w:val="20"/>
                <w:szCs w:val="20"/>
              </w:rPr>
              <w:t>:</w:t>
            </w:r>
            <w:r w:rsidRPr="00A31FC2">
              <w:rPr>
                <w:sz w:val="20"/>
                <w:szCs w:val="20"/>
              </w:rPr>
              <w:t xml:space="preserve"> </w:t>
            </w:r>
            <w:r>
              <w:rPr>
                <w:sz w:val="20"/>
                <w:szCs w:val="20"/>
              </w:rPr>
              <w:t xml:space="preserve"> 15.9</w:t>
            </w:r>
            <w:r w:rsidRPr="00A31FC2">
              <w:rPr>
                <w:sz w:val="20"/>
                <w:szCs w:val="20"/>
              </w:rPr>
              <w:t>%</w:t>
            </w:r>
          </w:p>
          <w:p w:rsidR="00E8456B" w:rsidRDefault="00E8456B" w:rsidP="00727AAB">
            <w:pPr>
              <w:pStyle w:val="ListParagraph"/>
              <w:ind w:left="0"/>
              <w:rPr>
                <w:sz w:val="20"/>
                <w:szCs w:val="20"/>
              </w:rPr>
            </w:pPr>
            <w:r>
              <w:rPr>
                <w:sz w:val="20"/>
                <w:szCs w:val="20"/>
              </w:rPr>
              <w:t>16-20 years:  4.9%</w:t>
            </w:r>
          </w:p>
          <w:p w:rsidR="00E8456B" w:rsidRDefault="00E8456B" w:rsidP="00E47C4D">
            <w:pPr>
              <w:pStyle w:val="ListParagraph"/>
              <w:ind w:left="0"/>
              <w:jc w:val="center"/>
              <w:rPr>
                <w:sz w:val="20"/>
                <w:szCs w:val="20"/>
              </w:rPr>
            </w:pPr>
            <w:r>
              <w:rPr>
                <w:sz w:val="20"/>
                <w:szCs w:val="20"/>
              </w:rPr>
              <w:t>21+ years:  2.9%</w:t>
            </w:r>
          </w:p>
          <w:p w:rsidR="00E8456B" w:rsidRPr="00A31FC2" w:rsidRDefault="00E8456B" w:rsidP="00E47C4D">
            <w:pPr>
              <w:pStyle w:val="ListParagraph"/>
              <w:ind w:left="0"/>
              <w:jc w:val="center"/>
              <w:rPr>
                <w:sz w:val="20"/>
                <w:szCs w:val="20"/>
              </w:rPr>
            </w:pPr>
            <w:r>
              <w:rPr>
                <w:sz w:val="20"/>
                <w:szCs w:val="20"/>
              </w:rPr>
              <w:t>Not Indicated:  1.4%</w:t>
            </w:r>
          </w:p>
        </w:tc>
        <w:tc>
          <w:tcPr>
            <w:tcW w:w="1530" w:type="dxa"/>
            <w:vAlign w:val="center"/>
          </w:tcPr>
          <w:p w:rsidR="00E8456B" w:rsidRPr="00A31FC2" w:rsidRDefault="00E8456B" w:rsidP="0019614A">
            <w:pPr>
              <w:pStyle w:val="ListParagraph"/>
              <w:ind w:left="0"/>
              <w:rPr>
                <w:sz w:val="20"/>
                <w:szCs w:val="20"/>
              </w:rPr>
            </w:pPr>
            <w:r w:rsidRPr="00A31FC2">
              <w:rPr>
                <w:sz w:val="20"/>
                <w:szCs w:val="20"/>
              </w:rPr>
              <w:t>96% Bachelor’s</w:t>
            </w:r>
          </w:p>
          <w:p w:rsidR="00E8456B" w:rsidRPr="00A31FC2" w:rsidRDefault="00E8456B" w:rsidP="0019614A">
            <w:pPr>
              <w:pStyle w:val="ListParagraph"/>
              <w:ind w:left="0"/>
              <w:rPr>
                <w:sz w:val="20"/>
                <w:szCs w:val="20"/>
              </w:rPr>
            </w:pPr>
          </w:p>
          <w:p w:rsidR="00E8456B" w:rsidRPr="00A31FC2" w:rsidRDefault="00E8456B" w:rsidP="0019614A">
            <w:pPr>
              <w:pStyle w:val="ListParagraph"/>
              <w:ind w:left="0"/>
              <w:rPr>
                <w:sz w:val="20"/>
                <w:szCs w:val="20"/>
              </w:rPr>
            </w:pPr>
            <w:r w:rsidRPr="00A31FC2">
              <w:rPr>
                <w:sz w:val="20"/>
                <w:szCs w:val="20"/>
              </w:rPr>
              <w:t>16% Master’s</w:t>
            </w:r>
          </w:p>
        </w:tc>
      </w:tr>
      <w:tr w:rsidR="00E8456B" w:rsidTr="00E8456B">
        <w:trPr>
          <w:trHeight w:val="440"/>
          <w:jc w:val="center"/>
        </w:trPr>
        <w:tc>
          <w:tcPr>
            <w:tcW w:w="1154" w:type="dxa"/>
            <w:vAlign w:val="center"/>
          </w:tcPr>
          <w:p w:rsidR="00E8456B" w:rsidRPr="00A31FC2" w:rsidRDefault="00E8456B" w:rsidP="0019614A">
            <w:pPr>
              <w:pStyle w:val="ListParagraph"/>
              <w:ind w:left="0"/>
              <w:rPr>
                <w:sz w:val="20"/>
                <w:szCs w:val="20"/>
              </w:rPr>
            </w:pPr>
            <w:r w:rsidRPr="00A31FC2">
              <w:rPr>
                <w:sz w:val="20"/>
                <w:szCs w:val="20"/>
              </w:rPr>
              <w:t>Supervisors</w:t>
            </w:r>
          </w:p>
        </w:tc>
        <w:tc>
          <w:tcPr>
            <w:tcW w:w="2160" w:type="dxa"/>
            <w:vAlign w:val="center"/>
          </w:tcPr>
          <w:p w:rsidR="00E8456B" w:rsidRPr="00A31FC2" w:rsidRDefault="00E8456B" w:rsidP="00A31FC2">
            <w:pPr>
              <w:pStyle w:val="ListParagraph"/>
              <w:ind w:left="24"/>
              <w:rPr>
                <w:sz w:val="20"/>
                <w:szCs w:val="20"/>
              </w:rPr>
            </w:pPr>
            <w:r w:rsidRPr="00A31FC2">
              <w:rPr>
                <w:sz w:val="20"/>
                <w:szCs w:val="20"/>
              </w:rPr>
              <w:t>21 – 30 years</w:t>
            </w:r>
            <w:r>
              <w:rPr>
                <w:sz w:val="20"/>
                <w:szCs w:val="20"/>
              </w:rPr>
              <w:t>:  0.01</w:t>
            </w:r>
            <w:r w:rsidRPr="00A31FC2">
              <w:rPr>
                <w:sz w:val="20"/>
                <w:szCs w:val="20"/>
              </w:rPr>
              <w:t xml:space="preserve">% </w:t>
            </w:r>
            <w:r>
              <w:rPr>
                <w:sz w:val="20"/>
                <w:szCs w:val="20"/>
              </w:rPr>
              <w:t xml:space="preserve"> </w:t>
            </w:r>
          </w:p>
          <w:p w:rsidR="00E8456B" w:rsidRPr="00A31FC2" w:rsidRDefault="00E8456B" w:rsidP="00A31FC2">
            <w:pPr>
              <w:pStyle w:val="ListParagraph"/>
              <w:ind w:left="24"/>
              <w:rPr>
                <w:sz w:val="20"/>
                <w:szCs w:val="20"/>
              </w:rPr>
            </w:pPr>
            <w:r w:rsidRPr="00A31FC2">
              <w:rPr>
                <w:sz w:val="20"/>
                <w:szCs w:val="20"/>
              </w:rPr>
              <w:t>31 – 40 years</w:t>
            </w:r>
            <w:r>
              <w:rPr>
                <w:sz w:val="20"/>
                <w:szCs w:val="20"/>
              </w:rPr>
              <w:t xml:space="preserve">: </w:t>
            </w:r>
            <w:r w:rsidRPr="00A31FC2">
              <w:rPr>
                <w:sz w:val="20"/>
                <w:szCs w:val="20"/>
              </w:rPr>
              <w:t xml:space="preserve"> </w:t>
            </w:r>
            <w:r>
              <w:rPr>
                <w:sz w:val="20"/>
                <w:szCs w:val="20"/>
              </w:rPr>
              <w:t>45.8</w:t>
            </w:r>
            <w:r w:rsidRPr="00A31FC2">
              <w:rPr>
                <w:sz w:val="20"/>
                <w:szCs w:val="20"/>
              </w:rPr>
              <w:t xml:space="preserve">% </w:t>
            </w:r>
          </w:p>
          <w:p w:rsidR="00E8456B" w:rsidRPr="00A31FC2" w:rsidRDefault="00E8456B" w:rsidP="00A31FC2">
            <w:pPr>
              <w:pStyle w:val="ListParagraph"/>
              <w:ind w:left="24"/>
              <w:rPr>
                <w:sz w:val="20"/>
                <w:szCs w:val="20"/>
              </w:rPr>
            </w:pPr>
            <w:r w:rsidRPr="00A31FC2">
              <w:rPr>
                <w:sz w:val="20"/>
                <w:szCs w:val="20"/>
              </w:rPr>
              <w:t>41 – 50 years</w:t>
            </w:r>
            <w:r>
              <w:rPr>
                <w:sz w:val="20"/>
                <w:szCs w:val="20"/>
              </w:rPr>
              <w:t>:  34.9</w:t>
            </w:r>
            <w:r w:rsidRPr="00A31FC2">
              <w:rPr>
                <w:sz w:val="20"/>
                <w:szCs w:val="20"/>
              </w:rPr>
              <w:t xml:space="preserve">% </w:t>
            </w:r>
          </w:p>
          <w:p w:rsidR="00E8456B" w:rsidRPr="00A31FC2" w:rsidRDefault="00E8456B" w:rsidP="00727AAB">
            <w:pPr>
              <w:pStyle w:val="ListParagraph"/>
              <w:ind w:left="24"/>
              <w:jc w:val="center"/>
              <w:rPr>
                <w:sz w:val="20"/>
                <w:szCs w:val="20"/>
              </w:rPr>
            </w:pPr>
            <w:r w:rsidRPr="00A31FC2">
              <w:rPr>
                <w:sz w:val="20"/>
                <w:szCs w:val="20"/>
              </w:rPr>
              <w:t>50+</w:t>
            </w:r>
            <w:r>
              <w:rPr>
                <w:sz w:val="20"/>
                <w:szCs w:val="20"/>
              </w:rPr>
              <w:t xml:space="preserve"> years: 18.4</w:t>
            </w:r>
            <w:r w:rsidRPr="00A31FC2">
              <w:rPr>
                <w:sz w:val="20"/>
                <w:szCs w:val="20"/>
              </w:rPr>
              <w:t>%</w:t>
            </w:r>
          </w:p>
        </w:tc>
        <w:tc>
          <w:tcPr>
            <w:tcW w:w="1777" w:type="dxa"/>
            <w:vAlign w:val="center"/>
          </w:tcPr>
          <w:p w:rsidR="00E8456B" w:rsidRPr="00A31FC2" w:rsidRDefault="00E8456B" w:rsidP="00F925B4">
            <w:pPr>
              <w:pStyle w:val="ListParagraph"/>
              <w:ind w:left="0"/>
              <w:rPr>
                <w:sz w:val="20"/>
                <w:szCs w:val="20"/>
              </w:rPr>
            </w:pPr>
            <w:r w:rsidRPr="00A31FC2">
              <w:rPr>
                <w:sz w:val="20"/>
                <w:szCs w:val="20"/>
              </w:rPr>
              <w:t xml:space="preserve">85.2% </w:t>
            </w:r>
            <w:r>
              <w:rPr>
                <w:sz w:val="20"/>
                <w:szCs w:val="20"/>
              </w:rPr>
              <w:t xml:space="preserve"> </w:t>
            </w:r>
            <w:r w:rsidRPr="00A31FC2">
              <w:rPr>
                <w:sz w:val="20"/>
                <w:szCs w:val="20"/>
              </w:rPr>
              <w:t>female</w:t>
            </w:r>
          </w:p>
          <w:p w:rsidR="00E8456B" w:rsidRDefault="00E8456B" w:rsidP="00F925B4">
            <w:pPr>
              <w:pStyle w:val="ListParagraph"/>
              <w:ind w:left="0"/>
              <w:rPr>
                <w:sz w:val="20"/>
                <w:szCs w:val="20"/>
              </w:rPr>
            </w:pPr>
          </w:p>
          <w:p w:rsidR="00E8456B" w:rsidRPr="00A31FC2" w:rsidRDefault="00E8456B" w:rsidP="00F925B4">
            <w:pPr>
              <w:pStyle w:val="ListParagraph"/>
              <w:ind w:left="0"/>
              <w:rPr>
                <w:sz w:val="20"/>
                <w:szCs w:val="20"/>
              </w:rPr>
            </w:pPr>
            <w:r w:rsidRPr="00A31FC2">
              <w:rPr>
                <w:sz w:val="20"/>
                <w:szCs w:val="20"/>
              </w:rPr>
              <w:t xml:space="preserve">14.8% </w:t>
            </w:r>
            <w:r>
              <w:rPr>
                <w:sz w:val="20"/>
                <w:szCs w:val="20"/>
              </w:rPr>
              <w:t xml:space="preserve"> </w:t>
            </w:r>
            <w:r w:rsidRPr="00A31FC2">
              <w:rPr>
                <w:sz w:val="20"/>
                <w:szCs w:val="20"/>
              </w:rPr>
              <w:t>male</w:t>
            </w:r>
          </w:p>
        </w:tc>
        <w:tc>
          <w:tcPr>
            <w:tcW w:w="1961" w:type="dxa"/>
          </w:tcPr>
          <w:p w:rsidR="00E8456B" w:rsidRPr="00A31FC2" w:rsidRDefault="00E8456B" w:rsidP="00A31FC2">
            <w:pPr>
              <w:pStyle w:val="ListParagraph"/>
              <w:ind w:left="28"/>
              <w:rPr>
                <w:sz w:val="20"/>
                <w:szCs w:val="20"/>
              </w:rPr>
            </w:pPr>
            <w:r>
              <w:rPr>
                <w:sz w:val="20"/>
                <w:szCs w:val="20"/>
              </w:rPr>
              <w:t>0</w:t>
            </w:r>
            <w:r w:rsidRPr="00A31FC2">
              <w:rPr>
                <w:sz w:val="20"/>
                <w:szCs w:val="20"/>
              </w:rPr>
              <w:t>0-5 years</w:t>
            </w:r>
            <w:r>
              <w:rPr>
                <w:sz w:val="20"/>
                <w:szCs w:val="20"/>
              </w:rPr>
              <w:t xml:space="preserve">:   </w:t>
            </w:r>
            <w:r w:rsidR="0081706F">
              <w:rPr>
                <w:sz w:val="20"/>
                <w:szCs w:val="20"/>
              </w:rPr>
              <w:t xml:space="preserve">   </w:t>
            </w:r>
            <w:r>
              <w:rPr>
                <w:sz w:val="20"/>
                <w:szCs w:val="20"/>
              </w:rPr>
              <w:t>5</w:t>
            </w:r>
            <w:r w:rsidR="0081706F">
              <w:rPr>
                <w:sz w:val="20"/>
                <w:szCs w:val="20"/>
              </w:rPr>
              <w:t>.1</w:t>
            </w:r>
            <w:r w:rsidRPr="00A31FC2">
              <w:rPr>
                <w:sz w:val="20"/>
                <w:szCs w:val="20"/>
              </w:rPr>
              <w:t xml:space="preserve">%   </w:t>
            </w:r>
          </w:p>
          <w:p w:rsidR="00E8456B" w:rsidRPr="00A31FC2" w:rsidRDefault="00E8456B" w:rsidP="00A31FC2">
            <w:pPr>
              <w:pStyle w:val="ListParagraph"/>
              <w:ind w:left="28"/>
              <w:rPr>
                <w:sz w:val="20"/>
                <w:szCs w:val="20"/>
              </w:rPr>
            </w:pPr>
            <w:r>
              <w:rPr>
                <w:sz w:val="20"/>
                <w:szCs w:val="20"/>
              </w:rPr>
              <w:t>0</w:t>
            </w:r>
            <w:r w:rsidRPr="00A31FC2">
              <w:rPr>
                <w:sz w:val="20"/>
                <w:szCs w:val="20"/>
              </w:rPr>
              <w:t>6-10 years</w:t>
            </w:r>
            <w:r>
              <w:rPr>
                <w:sz w:val="20"/>
                <w:szCs w:val="20"/>
              </w:rPr>
              <w:t>:  28.2</w:t>
            </w:r>
            <w:r w:rsidRPr="00A31FC2">
              <w:rPr>
                <w:sz w:val="20"/>
                <w:szCs w:val="20"/>
              </w:rPr>
              <w:t xml:space="preserve">%   </w:t>
            </w:r>
          </w:p>
          <w:p w:rsidR="00E8456B" w:rsidRDefault="00E8456B" w:rsidP="00743C80">
            <w:pPr>
              <w:pStyle w:val="ListParagraph"/>
              <w:ind w:left="28"/>
              <w:rPr>
                <w:sz w:val="20"/>
                <w:szCs w:val="20"/>
              </w:rPr>
            </w:pPr>
            <w:r w:rsidRPr="00A31FC2">
              <w:rPr>
                <w:sz w:val="20"/>
                <w:szCs w:val="20"/>
              </w:rPr>
              <w:t>11</w:t>
            </w:r>
            <w:r>
              <w:rPr>
                <w:sz w:val="20"/>
                <w:szCs w:val="20"/>
              </w:rPr>
              <w:t xml:space="preserve">-15 </w:t>
            </w:r>
            <w:r w:rsidRPr="00A31FC2">
              <w:rPr>
                <w:sz w:val="20"/>
                <w:szCs w:val="20"/>
              </w:rPr>
              <w:t>years</w:t>
            </w:r>
            <w:r>
              <w:rPr>
                <w:sz w:val="20"/>
                <w:szCs w:val="20"/>
              </w:rPr>
              <w:t>:  32.9</w:t>
            </w:r>
            <w:r w:rsidRPr="00A31FC2">
              <w:rPr>
                <w:sz w:val="20"/>
                <w:szCs w:val="20"/>
              </w:rPr>
              <w:t>%</w:t>
            </w:r>
          </w:p>
          <w:p w:rsidR="00E8456B" w:rsidRDefault="00E8456B" w:rsidP="00743C80">
            <w:pPr>
              <w:pStyle w:val="ListParagraph"/>
              <w:ind w:left="28"/>
              <w:rPr>
                <w:sz w:val="20"/>
                <w:szCs w:val="20"/>
              </w:rPr>
            </w:pPr>
            <w:r>
              <w:rPr>
                <w:sz w:val="20"/>
                <w:szCs w:val="20"/>
              </w:rPr>
              <w:t>16-20 years:  20.</w:t>
            </w:r>
            <w:r w:rsidR="0081706F">
              <w:rPr>
                <w:sz w:val="20"/>
                <w:szCs w:val="20"/>
              </w:rPr>
              <w:t>8</w:t>
            </w:r>
            <w:r>
              <w:rPr>
                <w:sz w:val="20"/>
                <w:szCs w:val="20"/>
              </w:rPr>
              <w:t>%</w:t>
            </w:r>
          </w:p>
          <w:p w:rsidR="00E8456B" w:rsidRPr="00A31FC2" w:rsidRDefault="00E8456B" w:rsidP="00E47C4D">
            <w:pPr>
              <w:pStyle w:val="ListParagraph"/>
              <w:ind w:left="28"/>
              <w:jc w:val="center"/>
              <w:rPr>
                <w:sz w:val="20"/>
                <w:szCs w:val="20"/>
              </w:rPr>
            </w:pPr>
            <w:r>
              <w:rPr>
                <w:sz w:val="20"/>
                <w:szCs w:val="20"/>
              </w:rPr>
              <w:t>21+ years:  12.9%</w:t>
            </w:r>
          </w:p>
        </w:tc>
        <w:tc>
          <w:tcPr>
            <w:tcW w:w="1530" w:type="dxa"/>
            <w:vAlign w:val="center"/>
          </w:tcPr>
          <w:p w:rsidR="00E8456B" w:rsidRPr="00A31FC2" w:rsidRDefault="00E8456B" w:rsidP="0019614A">
            <w:pPr>
              <w:pStyle w:val="ListParagraph"/>
              <w:ind w:left="0"/>
              <w:rPr>
                <w:sz w:val="20"/>
                <w:szCs w:val="20"/>
              </w:rPr>
            </w:pPr>
            <w:r w:rsidRPr="00A31FC2">
              <w:rPr>
                <w:sz w:val="20"/>
                <w:szCs w:val="20"/>
              </w:rPr>
              <w:t>99% Bachelor’s</w:t>
            </w:r>
          </w:p>
          <w:p w:rsidR="00E8456B" w:rsidRPr="00A31FC2" w:rsidRDefault="00E8456B" w:rsidP="0019614A">
            <w:pPr>
              <w:pStyle w:val="ListParagraph"/>
              <w:ind w:left="0"/>
              <w:rPr>
                <w:sz w:val="20"/>
                <w:szCs w:val="20"/>
              </w:rPr>
            </w:pPr>
          </w:p>
          <w:p w:rsidR="00E8456B" w:rsidRPr="00A31FC2" w:rsidRDefault="00E8456B" w:rsidP="0019614A">
            <w:pPr>
              <w:pStyle w:val="ListParagraph"/>
              <w:ind w:left="0"/>
              <w:rPr>
                <w:sz w:val="20"/>
                <w:szCs w:val="20"/>
              </w:rPr>
            </w:pPr>
            <w:r w:rsidRPr="00A31FC2">
              <w:rPr>
                <w:sz w:val="20"/>
                <w:szCs w:val="20"/>
              </w:rPr>
              <w:t>53% Master’s</w:t>
            </w:r>
          </w:p>
        </w:tc>
      </w:tr>
    </w:tbl>
    <w:p w:rsidR="00190EFA" w:rsidRDefault="00190EFA" w:rsidP="00190EFA">
      <w:pPr>
        <w:pStyle w:val="ListParagraph"/>
      </w:pPr>
    </w:p>
    <w:p w:rsidR="00E44813" w:rsidRDefault="00E44813" w:rsidP="00436892">
      <w:r>
        <w:t>Note:  Educational background column categories are not mutually exclusive, and represent the percentage of staff possessing each degree type.  Therefore, the percentages may total more than 100%.</w:t>
      </w:r>
    </w:p>
    <w:p w:rsidR="00E44813" w:rsidRDefault="00E44813" w:rsidP="00436892"/>
    <w:p w:rsidR="004962CE" w:rsidRDefault="004962CE" w:rsidP="00436892">
      <w:r>
        <w:t xml:space="preserve">The demographic information indicates that about half of the cabinet’s </w:t>
      </w:r>
      <w:r w:rsidR="00E8456B">
        <w:t>workers</w:t>
      </w:r>
      <w:r>
        <w:t xml:space="preserve"> have less than 5 years experience, but about half are over 30 and have 5 or more year’s experience.  </w:t>
      </w:r>
      <w:r w:rsidR="00E8456B">
        <w:t>Work</w:t>
      </w:r>
      <w:r w:rsidR="000A1328">
        <w:t>ers are supported by supervisors who are predominantly characterized by more than 10 years of exp</w:t>
      </w:r>
      <w:r w:rsidR="00796824">
        <w:t>erience, and just over half possess</w:t>
      </w:r>
      <w:r w:rsidR="000A1328">
        <w:t xml:space="preserve"> a Master’s Degree.</w:t>
      </w:r>
    </w:p>
    <w:p w:rsidR="00796824" w:rsidRDefault="00796824" w:rsidP="00436892"/>
    <w:p w:rsidR="00C37C59" w:rsidRDefault="00277B9F" w:rsidP="00436892">
      <w:r>
        <w:t xml:space="preserve">The </w:t>
      </w:r>
      <w:r w:rsidR="00C37C59">
        <w:t xml:space="preserve">workforce is largely </w:t>
      </w:r>
      <w:r>
        <w:t>Caucasian, consistent with the state’s racial composition</w:t>
      </w:r>
      <w:r w:rsidR="00C37C59">
        <w:t>.  A side by side comparison of worker racial demographic with statewide characteristic</w:t>
      </w:r>
      <w:r w:rsidR="00C174A5">
        <w:t>s</w:t>
      </w:r>
      <w:r w:rsidR="00C37C59">
        <w:t xml:space="preserve"> is presented in the table below. </w:t>
      </w:r>
    </w:p>
    <w:p w:rsidR="004F4969" w:rsidRDefault="004F4969"/>
    <w:tbl>
      <w:tblPr>
        <w:tblStyle w:val="TableGrid"/>
        <w:tblW w:w="6629" w:type="dxa"/>
        <w:jc w:val="center"/>
        <w:tblCellMar>
          <w:top w:w="72" w:type="dxa"/>
          <w:left w:w="115" w:type="dxa"/>
          <w:right w:w="115" w:type="dxa"/>
        </w:tblCellMar>
        <w:tblLook w:val="04A0"/>
      </w:tblPr>
      <w:tblGrid>
        <w:gridCol w:w="3276"/>
        <w:gridCol w:w="3353"/>
      </w:tblGrid>
      <w:tr w:rsidR="00C37C59" w:rsidTr="00E8456B">
        <w:trPr>
          <w:trHeight w:val="719"/>
          <w:jc w:val="center"/>
        </w:trPr>
        <w:tc>
          <w:tcPr>
            <w:tcW w:w="3276" w:type="dxa"/>
            <w:tcMar>
              <w:top w:w="0" w:type="dxa"/>
            </w:tcMar>
            <w:vAlign w:val="center"/>
          </w:tcPr>
          <w:p w:rsidR="00C37C59" w:rsidRPr="00A31FC2" w:rsidRDefault="00C37C59" w:rsidP="00C37C59">
            <w:pPr>
              <w:pStyle w:val="ListParagraph"/>
              <w:ind w:left="0"/>
              <w:rPr>
                <w:sz w:val="20"/>
                <w:szCs w:val="20"/>
              </w:rPr>
            </w:pPr>
            <w:r w:rsidRPr="00A31FC2">
              <w:rPr>
                <w:sz w:val="20"/>
                <w:szCs w:val="20"/>
              </w:rPr>
              <w:t>Race</w:t>
            </w:r>
          </w:p>
          <w:p w:rsidR="00C37C59" w:rsidRPr="00A31FC2" w:rsidRDefault="00C37C59" w:rsidP="00E8456B">
            <w:pPr>
              <w:pStyle w:val="ListParagraph"/>
              <w:ind w:left="0"/>
              <w:rPr>
                <w:sz w:val="20"/>
                <w:szCs w:val="20"/>
              </w:rPr>
            </w:pPr>
            <w:r w:rsidRPr="00A31FC2">
              <w:rPr>
                <w:sz w:val="20"/>
                <w:szCs w:val="20"/>
              </w:rPr>
              <w:t xml:space="preserve">(% </w:t>
            </w:r>
            <w:r w:rsidR="00E8456B">
              <w:rPr>
                <w:sz w:val="20"/>
                <w:szCs w:val="20"/>
              </w:rPr>
              <w:t>of staff i</w:t>
            </w:r>
            <w:r w:rsidRPr="00A31FC2">
              <w:rPr>
                <w:sz w:val="20"/>
                <w:szCs w:val="20"/>
              </w:rPr>
              <w:t>dentifying themselves has having a particular race)</w:t>
            </w:r>
          </w:p>
        </w:tc>
        <w:tc>
          <w:tcPr>
            <w:tcW w:w="3353" w:type="dxa"/>
            <w:vAlign w:val="center"/>
          </w:tcPr>
          <w:p w:rsidR="00C37C59" w:rsidRPr="00C37C59" w:rsidRDefault="00C37C59" w:rsidP="00C37C59">
            <w:pPr>
              <w:rPr>
                <w:sz w:val="20"/>
                <w:szCs w:val="20"/>
              </w:rPr>
            </w:pPr>
            <w:r w:rsidRPr="00C37C59">
              <w:rPr>
                <w:sz w:val="20"/>
                <w:szCs w:val="20"/>
              </w:rPr>
              <w:t>Statewide Racial Composition as noted from US census data.</w:t>
            </w:r>
          </w:p>
        </w:tc>
      </w:tr>
      <w:tr w:rsidR="00E8456B" w:rsidTr="00E8456B">
        <w:trPr>
          <w:trHeight w:val="1817"/>
          <w:jc w:val="center"/>
        </w:trPr>
        <w:tc>
          <w:tcPr>
            <w:tcW w:w="3276" w:type="dxa"/>
            <w:vAlign w:val="center"/>
          </w:tcPr>
          <w:p w:rsidR="00E8456B" w:rsidRDefault="00E8456B" w:rsidP="00C37C59">
            <w:pPr>
              <w:pStyle w:val="ListParagraph"/>
              <w:ind w:left="0"/>
              <w:rPr>
                <w:sz w:val="20"/>
                <w:szCs w:val="20"/>
              </w:rPr>
            </w:pPr>
            <w:r>
              <w:rPr>
                <w:sz w:val="20"/>
                <w:szCs w:val="20"/>
              </w:rPr>
              <w:t>Workers:</w:t>
            </w:r>
          </w:p>
          <w:p w:rsidR="00E8456B" w:rsidRPr="00A31FC2" w:rsidRDefault="00E8456B" w:rsidP="00C37C59">
            <w:pPr>
              <w:pStyle w:val="ListParagraph"/>
              <w:ind w:left="0"/>
              <w:rPr>
                <w:sz w:val="20"/>
                <w:szCs w:val="20"/>
              </w:rPr>
            </w:pPr>
            <w:r w:rsidRPr="00A31FC2">
              <w:rPr>
                <w:sz w:val="20"/>
                <w:szCs w:val="20"/>
              </w:rPr>
              <w:t xml:space="preserve">84.7% </w:t>
            </w:r>
            <w:r>
              <w:rPr>
                <w:sz w:val="20"/>
                <w:szCs w:val="20"/>
              </w:rPr>
              <w:t xml:space="preserve"> </w:t>
            </w:r>
            <w:r w:rsidRPr="00A31FC2">
              <w:rPr>
                <w:sz w:val="20"/>
                <w:szCs w:val="20"/>
              </w:rPr>
              <w:t>Caucasian</w:t>
            </w:r>
          </w:p>
          <w:p w:rsidR="00E8456B" w:rsidRPr="00A31FC2" w:rsidRDefault="00E8456B" w:rsidP="00C37C59">
            <w:pPr>
              <w:pStyle w:val="ListParagraph"/>
              <w:ind w:left="0"/>
              <w:rPr>
                <w:sz w:val="20"/>
                <w:szCs w:val="20"/>
              </w:rPr>
            </w:pPr>
            <w:r w:rsidRPr="00A31FC2">
              <w:rPr>
                <w:sz w:val="20"/>
                <w:szCs w:val="20"/>
              </w:rPr>
              <w:t xml:space="preserve">10.9% </w:t>
            </w:r>
            <w:r>
              <w:rPr>
                <w:sz w:val="20"/>
                <w:szCs w:val="20"/>
              </w:rPr>
              <w:t xml:space="preserve"> </w:t>
            </w:r>
            <w:r w:rsidRPr="00A31FC2">
              <w:rPr>
                <w:sz w:val="20"/>
                <w:szCs w:val="20"/>
              </w:rPr>
              <w:t>African-American</w:t>
            </w:r>
          </w:p>
          <w:p w:rsidR="00E8456B" w:rsidRPr="00A31FC2" w:rsidRDefault="00E8456B" w:rsidP="00C37C59">
            <w:pPr>
              <w:pStyle w:val="ListParagraph"/>
              <w:ind w:left="0"/>
              <w:rPr>
                <w:sz w:val="20"/>
                <w:szCs w:val="20"/>
              </w:rPr>
            </w:pPr>
            <w:r w:rsidRPr="00A31FC2">
              <w:rPr>
                <w:sz w:val="20"/>
                <w:szCs w:val="20"/>
              </w:rPr>
              <w:t xml:space="preserve">02.2% </w:t>
            </w:r>
            <w:r>
              <w:rPr>
                <w:sz w:val="20"/>
                <w:szCs w:val="20"/>
              </w:rPr>
              <w:t xml:space="preserve"> </w:t>
            </w:r>
            <w:r w:rsidRPr="00A31FC2">
              <w:rPr>
                <w:sz w:val="20"/>
                <w:szCs w:val="20"/>
              </w:rPr>
              <w:t>Not Specified</w:t>
            </w:r>
          </w:p>
          <w:p w:rsidR="00E8456B" w:rsidRPr="00A31FC2" w:rsidRDefault="00E8456B" w:rsidP="00C37C59">
            <w:pPr>
              <w:pStyle w:val="ListParagraph"/>
              <w:ind w:left="0"/>
              <w:rPr>
                <w:sz w:val="20"/>
                <w:szCs w:val="20"/>
              </w:rPr>
            </w:pPr>
            <w:r w:rsidRPr="00A31FC2">
              <w:rPr>
                <w:sz w:val="20"/>
                <w:szCs w:val="20"/>
              </w:rPr>
              <w:t xml:space="preserve">01.0% </w:t>
            </w:r>
            <w:r>
              <w:rPr>
                <w:sz w:val="20"/>
                <w:szCs w:val="20"/>
              </w:rPr>
              <w:t xml:space="preserve"> </w:t>
            </w:r>
            <w:r w:rsidRPr="00A31FC2">
              <w:rPr>
                <w:sz w:val="20"/>
                <w:szCs w:val="20"/>
              </w:rPr>
              <w:t>Other</w:t>
            </w:r>
          </w:p>
          <w:p w:rsidR="00E8456B" w:rsidRPr="00A31FC2" w:rsidRDefault="00E8456B" w:rsidP="00C37C59">
            <w:pPr>
              <w:pStyle w:val="ListParagraph"/>
              <w:ind w:left="0"/>
              <w:rPr>
                <w:sz w:val="20"/>
                <w:szCs w:val="20"/>
              </w:rPr>
            </w:pPr>
            <w:r w:rsidRPr="00A31FC2">
              <w:rPr>
                <w:sz w:val="20"/>
                <w:szCs w:val="20"/>
              </w:rPr>
              <w:t xml:space="preserve">00.8% </w:t>
            </w:r>
            <w:r>
              <w:rPr>
                <w:sz w:val="20"/>
                <w:szCs w:val="20"/>
              </w:rPr>
              <w:t xml:space="preserve"> </w:t>
            </w:r>
            <w:r w:rsidRPr="00A31FC2">
              <w:rPr>
                <w:sz w:val="20"/>
                <w:szCs w:val="20"/>
              </w:rPr>
              <w:t>Hispanic</w:t>
            </w:r>
          </w:p>
          <w:p w:rsidR="00E8456B" w:rsidRPr="00A31FC2" w:rsidRDefault="00E8456B" w:rsidP="00C37C59">
            <w:pPr>
              <w:pStyle w:val="ListParagraph"/>
              <w:ind w:left="0"/>
              <w:rPr>
                <w:sz w:val="20"/>
                <w:szCs w:val="20"/>
              </w:rPr>
            </w:pPr>
            <w:r w:rsidRPr="00A31FC2">
              <w:rPr>
                <w:sz w:val="20"/>
                <w:szCs w:val="20"/>
              </w:rPr>
              <w:t xml:space="preserve">00.3% </w:t>
            </w:r>
            <w:r>
              <w:rPr>
                <w:sz w:val="20"/>
                <w:szCs w:val="20"/>
              </w:rPr>
              <w:t xml:space="preserve"> </w:t>
            </w:r>
            <w:r w:rsidRPr="00A31FC2">
              <w:rPr>
                <w:sz w:val="20"/>
                <w:szCs w:val="20"/>
              </w:rPr>
              <w:t>Asian</w:t>
            </w:r>
          </w:p>
          <w:p w:rsidR="00E8456B" w:rsidRPr="00A31FC2" w:rsidRDefault="00E8456B" w:rsidP="00C37C59">
            <w:pPr>
              <w:pStyle w:val="ListParagraph"/>
              <w:ind w:left="0"/>
              <w:rPr>
                <w:sz w:val="20"/>
                <w:szCs w:val="20"/>
              </w:rPr>
            </w:pPr>
            <w:r w:rsidRPr="00A31FC2">
              <w:rPr>
                <w:sz w:val="20"/>
                <w:szCs w:val="20"/>
              </w:rPr>
              <w:t xml:space="preserve">00.2% </w:t>
            </w:r>
            <w:r>
              <w:rPr>
                <w:sz w:val="20"/>
                <w:szCs w:val="20"/>
              </w:rPr>
              <w:t xml:space="preserve"> </w:t>
            </w:r>
            <w:r w:rsidRPr="00A31FC2">
              <w:rPr>
                <w:sz w:val="20"/>
                <w:szCs w:val="20"/>
              </w:rPr>
              <w:t>American Indian</w:t>
            </w:r>
          </w:p>
        </w:tc>
        <w:tc>
          <w:tcPr>
            <w:tcW w:w="3353" w:type="dxa"/>
            <w:vMerge w:val="restart"/>
          </w:tcPr>
          <w:p w:rsidR="00E8456B" w:rsidRDefault="00E8456B" w:rsidP="00E8456B">
            <w:pPr>
              <w:rPr>
                <w:sz w:val="20"/>
                <w:szCs w:val="20"/>
              </w:rPr>
            </w:pPr>
          </w:p>
          <w:p w:rsidR="00E8456B" w:rsidRDefault="00E8456B" w:rsidP="00E8456B">
            <w:pPr>
              <w:rPr>
                <w:sz w:val="20"/>
                <w:szCs w:val="20"/>
              </w:rPr>
            </w:pPr>
          </w:p>
          <w:p w:rsidR="001F43CC" w:rsidRDefault="001F43CC" w:rsidP="00E8456B">
            <w:pPr>
              <w:rPr>
                <w:sz w:val="20"/>
                <w:szCs w:val="20"/>
              </w:rPr>
            </w:pPr>
          </w:p>
          <w:p w:rsidR="00E8456B" w:rsidRPr="00C37C59" w:rsidRDefault="00E8456B" w:rsidP="00E8456B">
            <w:pPr>
              <w:rPr>
                <w:sz w:val="20"/>
                <w:szCs w:val="20"/>
              </w:rPr>
            </w:pPr>
            <w:r w:rsidRPr="00C37C59">
              <w:rPr>
                <w:sz w:val="20"/>
                <w:szCs w:val="20"/>
              </w:rPr>
              <w:t>89.6% Caucasian</w:t>
            </w:r>
          </w:p>
          <w:p w:rsidR="00E8456B" w:rsidRPr="00C37C59" w:rsidRDefault="00E8456B" w:rsidP="00E8456B">
            <w:pPr>
              <w:rPr>
                <w:sz w:val="20"/>
                <w:szCs w:val="20"/>
              </w:rPr>
            </w:pPr>
            <w:r w:rsidRPr="00C37C59">
              <w:rPr>
                <w:sz w:val="20"/>
                <w:szCs w:val="20"/>
              </w:rPr>
              <w:t>07.9% African American</w:t>
            </w:r>
          </w:p>
          <w:p w:rsidR="00E8456B" w:rsidRPr="00C37C59" w:rsidRDefault="00E8456B" w:rsidP="00E8456B">
            <w:pPr>
              <w:rPr>
                <w:sz w:val="20"/>
                <w:szCs w:val="20"/>
              </w:rPr>
            </w:pPr>
            <w:r w:rsidRPr="00C37C59">
              <w:rPr>
                <w:sz w:val="20"/>
                <w:szCs w:val="20"/>
              </w:rPr>
              <w:t>02.7% Hispanic</w:t>
            </w:r>
          </w:p>
          <w:p w:rsidR="00E8456B" w:rsidRPr="00C37C59" w:rsidRDefault="00E8456B" w:rsidP="00E8456B">
            <w:pPr>
              <w:rPr>
                <w:sz w:val="20"/>
                <w:szCs w:val="20"/>
              </w:rPr>
            </w:pPr>
            <w:r w:rsidRPr="00C37C59">
              <w:rPr>
                <w:sz w:val="20"/>
                <w:szCs w:val="20"/>
              </w:rPr>
              <w:t>01.1% Asian</w:t>
            </w:r>
          </w:p>
          <w:p w:rsidR="00E8456B" w:rsidRPr="00C37C59" w:rsidRDefault="00E8456B" w:rsidP="00E8456B">
            <w:pPr>
              <w:rPr>
                <w:sz w:val="20"/>
                <w:szCs w:val="20"/>
              </w:rPr>
            </w:pPr>
            <w:r w:rsidRPr="00C37C59">
              <w:rPr>
                <w:sz w:val="20"/>
                <w:szCs w:val="20"/>
              </w:rPr>
              <w:t>01.1% Biracial</w:t>
            </w:r>
          </w:p>
          <w:p w:rsidR="00E8456B" w:rsidRPr="00C37C59" w:rsidRDefault="00E8456B" w:rsidP="00E8456B">
            <w:pPr>
              <w:rPr>
                <w:sz w:val="20"/>
                <w:szCs w:val="20"/>
              </w:rPr>
            </w:pPr>
            <w:r w:rsidRPr="00C37C59">
              <w:rPr>
                <w:sz w:val="20"/>
                <w:szCs w:val="20"/>
              </w:rPr>
              <w:t>00.3% American Indian</w:t>
            </w:r>
          </w:p>
        </w:tc>
      </w:tr>
      <w:tr w:rsidR="00E8456B" w:rsidTr="00E8456B">
        <w:trPr>
          <w:trHeight w:val="1232"/>
          <w:jc w:val="center"/>
        </w:trPr>
        <w:tc>
          <w:tcPr>
            <w:tcW w:w="3276" w:type="dxa"/>
            <w:vAlign w:val="center"/>
          </w:tcPr>
          <w:p w:rsidR="00E8456B" w:rsidRDefault="00E8456B" w:rsidP="00C37C59">
            <w:pPr>
              <w:pStyle w:val="ListParagraph"/>
              <w:ind w:left="0"/>
              <w:rPr>
                <w:sz w:val="20"/>
                <w:szCs w:val="20"/>
              </w:rPr>
            </w:pPr>
            <w:r>
              <w:rPr>
                <w:sz w:val="20"/>
                <w:szCs w:val="20"/>
              </w:rPr>
              <w:t>Supervisors:</w:t>
            </w:r>
          </w:p>
          <w:p w:rsidR="00E8456B" w:rsidRPr="00A31FC2" w:rsidRDefault="00E8456B" w:rsidP="00C37C59">
            <w:pPr>
              <w:pStyle w:val="ListParagraph"/>
              <w:ind w:left="0"/>
              <w:rPr>
                <w:sz w:val="20"/>
                <w:szCs w:val="20"/>
              </w:rPr>
            </w:pPr>
            <w:r w:rsidRPr="00A31FC2">
              <w:rPr>
                <w:sz w:val="20"/>
                <w:szCs w:val="20"/>
              </w:rPr>
              <w:t xml:space="preserve">91.0% </w:t>
            </w:r>
            <w:r>
              <w:rPr>
                <w:sz w:val="20"/>
                <w:szCs w:val="20"/>
              </w:rPr>
              <w:t xml:space="preserve"> </w:t>
            </w:r>
            <w:r w:rsidRPr="00A31FC2">
              <w:rPr>
                <w:sz w:val="20"/>
                <w:szCs w:val="20"/>
              </w:rPr>
              <w:t>Caucasian</w:t>
            </w:r>
          </w:p>
          <w:p w:rsidR="00E8456B" w:rsidRPr="00A31FC2" w:rsidRDefault="00E8456B" w:rsidP="00C37C59">
            <w:pPr>
              <w:pStyle w:val="ListParagraph"/>
              <w:ind w:left="0"/>
              <w:rPr>
                <w:sz w:val="20"/>
                <w:szCs w:val="20"/>
              </w:rPr>
            </w:pPr>
            <w:r w:rsidRPr="00A31FC2">
              <w:rPr>
                <w:sz w:val="20"/>
                <w:szCs w:val="20"/>
              </w:rPr>
              <w:t xml:space="preserve">08.2% </w:t>
            </w:r>
            <w:r>
              <w:rPr>
                <w:sz w:val="20"/>
                <w:szCs w:val="20"/>
              </w:rPr>
              <w:t xml:space="preserve"> </w:t>
            </w:r>
            <w:r w:rsidRPr="00A31FC2">
              <w:rPr>
                <w:sz w:val="20"/>
                <w:szCs w:val="20"/>
              </w:rPr>
              <w:t>African-American</w:t>
            </w:r>
          </w:p>
          <w:p w:rsidR="00E8456B" w:rsidRPr="00A31FC2" w:rsidRDefault="00E8456B" w:rsidP="00C37C59">
            <w:pPr>
              <w:pStyle w:val="ListParagraph"/>
              <w:ind w:left="0"/>
              <w:rPr>
                <w:sz w:val="20"/>
                <w:szCs w:val="20"/>
              </w:rPr>
            </w:pPr>
            <w:r w:rsidRPr="00A31FC2">
              <w:rPr>
                <w:sz w:val="20"/>
                <w:szCs w:val="20"/>
              </w:rPr>
              <w:t xml:space="preserve">00.4% </w:t>
            </w:r>
            <w:r>
              <w:rPr>
                <w:sz w:val="20"/>
                <w:szCs w:val="20"/>
              </w:rPr>
              <w:t xml:space="preserve"> </w:t>
            </w:r>
            <w:r w:rsidRPr="00A31FC2">
              <w:rPr>
                <w:sz w:val="20"/>
                <w:szCs w:val="20"/>
              </w:rPr>
              <w:t>Other</w:t>
            </w:r>
          </w:p>
          <w:p w:rsidR="00E8456B" w:rsidRPr="00A31FC2" w:rsidRDefault="00E8456B" w:rsidP="00C37C59">
            <w:pPr>
              <w:pStyle w:val="ListParagraph"/>
              <w:ind w:left="0"/>
              <w:rPr>
                <w:sz w:val="20"/>
                <w:szCs w:val="20"/>
              </w:rPr>
            </w:pPr>
            <w:r w:rsidRPr="00A31FC2">
              <w:rPr>
                <w:sz w:val="20"/>
                <w:szCs w:val="20"/>
              </w:rPr>
              <w:t xml:space="preserve">00.4% </w:t>
            </w:r>
            <w:r>
              <w:rPr>
                <w:sz w:val="20"/>
                <w:szCs w:val="20"/>
              </w:rPr>
              <w:t xml:space="preserve"> </w:t>
            </w:r>
            <w:r w:rsidRPr="00A31FC2">
              <w:rPr>
                <w:sz w:val="20"/>
                <w:szCs w:val="20"/>
              </w:rPr>
              <w:t>Not Specified</w:t>
            </w:r>
          </w:p>
        </w:tc>
        <w:tc>
          <w:tcPr>
            <w:tcW w:w="3353" w:type="dxa"/>
            <w:vMerge/>
            <w:vAlign w:val="center"/>
          </w:tcPr>
          <w:p w:rsidR="00E8456B" w:rsidRDefault="00E8456B" w:rsidP="00C37C59"/>
        </w:tc>
      </w:tr>
    </w:tbl>
    <w:p w:rsidR="00C174A5" w:rsidRDefault="00C174A5" w:rsidP="00436892"/>
    <w:p w:rsidR="00E44813" w:rsidRPr="00E44813" w:rsidRDefault="00E44813" w:rsidP="00E44813">
      <w:r w:rsidRPr="00E44813">
        <w:t xml:space="preserve">Note:  Hispanics may be of any race, so also are included in applicable race categories.  Therefore, demographic figures from the US Census data may total more than 100%.  </w:t>
      </w:r>
    </w:p>
    <w:p w:rsidR="00E44813" w:rsidRDefault="00E44813" w:rsidP="00436892"/>
    <w:p w:rsidR="00784DAD" w:rsidRDefault="0028028E" w:rsidP="00436892">
      <w:r>
        <w:t xml:space="preserve">Specific information about personnel training rates is included below.  The agency’s core curriculum </w:t>
      </w:r>
      <w:r w:rsidR="00C516F6">
        <w:t xml:space="preserve">(courses 1 and 2) </w:t>
      </w:r>
      <w:r>
        <w:t>w</w:t>
      </w:r>
      <w:r w:rsidR="00C516F6">
        <w:t>ere</w:t>
      </w:r>
      <w:r>
        <w:t xml:space="preserve"> implemented in 2001.  Of currently employed workers and supervisors, </w:t>
      </w:r>
      <w:r w:rsidRPr="0028028E">
        <w:t>596 of 1708</w:t>
      </w:r>
      <w:r>
        <w:t xml:space="preserve"> were hired prior to 2001, and their training curriculum is not depicted here.  Of the workforce hired </w:t>
      </w:r>
      <w:r w:rsidR="00A07C6A">
        <w:t>in 2001 or later</w:t>
      </w:r>
      <w:r>
        <w:t xml:space="preserve">, the majority of both workers and supervisors have completed both courses 1 and 2 of the core curriculum.  </w:t>
      </w:r>
      <w:r w:rsidR="00B84B74" w:rsidRPr="00B84B74">
        <w:t>The department’s “Course Catalog,” staff development plan</w:t>
      </w:r>
      <w:r w:rsidR="0049674F">
        <w:t>s</w:t>
      </w:r>
      <w:r w:rsidR="00B84B74" w:rsidRPr="00B84B74">
        <w:t xml:space="preserve">, and training worksheets are available as </w:t>
      </w:r>
      <w:r w:rsidR="004F4969" w:rsidRPr="003E576C">
        <w:t>A</w:t>
      </w:r>
      <w:r w:rsidR="0049674F" w:rsidRPr="003E576C">
        <w:t xml:space="preserve">ttachment </w:t>
      </w:r>
      <w:r w:rsidR="003428B9">
        <w:t>4</w:t>
      </w:r>
      <w:r w:rsidR="00B84B74" w:rsidRPr="00B84B74">
        <w:t xml:space="preserve">.  </w:t>
      </w:r>
    </w:p>
    <w:p w:rsidR="00784DAD" w:rsidRDefault="00784DAD" w:rsidP="00436892"/>
    <w:p w:rsidR="0028028E" w:rsidRDefault="0028028E" w:rsidP="00784DAD">
      <w:pPr>
        <w:jc w:val="center"/>
      </w:pPr>
      <w:r>
        <w:t>Completion Rates for Core Curriculum for all Workers Hired After 2001</w:t>
      </w:r>
    </w:p>
    <w:tbl>
      <w:tblPr>
        <w:tblW w:w="0" w:type="auto"/>
        <w:jc w:val="center"/>
        <w:tblInd w:w="404" w:type="dxa"/>
        <w:tblCellMar>
          <w:left w:w="0" w:type="dxa"/>
          <w:right w:w="0" w:type="dxa"/>
        </w:tblCellMar>
        <w:tblLook w:val="04A0"/>
      </w:tblPr>
      <w:tblGrid>
        <w:gridCol w:w="1008"/>
        <w:gridCol w:w="1170"/>
        <w:gridCol w:w="900"/>
        <w:gridCol w:w="1440"/>
        <w:gridCol w:w="1350"/>
      </w:tblGrid>
      <w:tr w:rsidR="0028028E" w:rsidRPr="0028028E" w:rsidTr="00784DAD">
        <w:trPr>
          <w:jc w:val="center"/>
        </w:trPr>
        <w:tc>
          <w:tcPr>
            <w:tcW w:w="100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28028E" w:rsidRPr="0028028E" w:rsidRDefault="0028028E" w:rsidP="0028028E">
            <w:pPr>
              <w:rPr>
                <w:rFonts w:ascii="Calibri" w:hAnsi="Calibri" w:cs="Times New Roman"/>
              </w:rPr>
            </w:pPr>
            <w:r w:rsidRPr="0028028E">
              <w:rPr>
                <w:rFonts w:ascii="Calibri" w:hAnsi="Calibri" w:cs="Times New Roman"/>
              </w:rPr>
              <w:t>Course</w:t>
            </w:r>
          </w:p>
        </w:tc>
        <w:tc>
          <w:tcPr>
            <w:tcW w:w="117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28028E" w:rsidRPr="0028028E" w:rsidRDefault="0028028E" w:rsidP="0028028E">
            <w:pPr>
              <w:jc w:val="center"/>
              <w:rPr>
                <w:rFonts w:ascii="Calibri" w:hAnsi="Calibri" w:cs="Times New Roman"/>
              </w:rPr>
            </w:pPr>
            <w:r w:rsidRPr="0028028E">
              <w:rPr>
                <w:rFonts w:ascii="Calibri" w:hAnsi="Calibri" w:cs="Times New Roman"/>
              </w:rPr>
              <w:t xml:space="preserve">FSOS </w:t>
            </w:r>
            <w:r w:rsidRPr="0028028E">
              <w:rPr>
                <w:rFonts w:ascii="Calibri" w:hAnsi="Calibri" w:cs="Times New Roman"/>
              </w:rPr>
              <w:br/>
              <w:t xml:space="preserve">Total </w:t>
            </w:r>
            <w:r w:rsidRPr="0028028E">
              <w:rPr>
                <w:rFonts w:ascii="Calibri" w:hAnsi="Calibri" w:cs="Times New Roman"/>
                <w:sz w:val="16"/>
                <w:szCs w:val="16"/>
              </w:rPr>
              <w:t>(56)</w:t>
            </w:r>
          </w:p>
        </w:tc>
        <w:tc>
          <w:tcPr>
            <w:tcW w:w="90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28028E" w:rsidRPr="0028028E" w:rsidRDefault="0028028E" w:rsidP="0028028E">
            <w:pPr>
              <w:jc w:val="center"/>
              <w:rPr>
                <w:rFonts w:ascii="Calibri" w:hAnsi="Calibri" w:cs="Times New Roman"/>
              </w:rPr>
            </w:pPr>
            <w:r w:rsidRPr="0028028E">
              <w:rPr>
                <w:rFonts w:ascii="Calibri" w:hAnsi="Calibri" w:cs="Times New Roman"/>
              </w:rPr>
              <w:t>FSOS %</w:t>
            </w:r>
          </w:p>
        </w:tc>
        <w:tc>
          <w:tcPr>
            <w:tcW w:w="144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28028E" w:rsidRPr="0028028E" w:rsidRDefault="0028028E" w:rsidP="0028028E">
            <w:pPr>
              <w:jc w:val="center"/>
              <w:rPr>
                <w:rFonts w:ascii="Calibri" w:hAnsi="Calibri" w:cs="Times New Roman"/>
              </w:rPr>
            </w:pPr>
            <w:r w:rsidRPr="0028028E">
              <w:rPr>
                <w:rFonts w:ascii="Calibri" w:hAnsi="Calibri" w:cs="Times New Roman"/>
              </w:rPr>
              <w:t xml:space="preserve">SSW/SSC </w:t>
            </w:r>
            <w:r w:rsidRPr="0028028E">
              <w:rPr>
                <w:rFonts w:ascii="Calibri" w:hAnsi="Calibri" w:cs="Times New Roman"/>
              </w:rPr>
              <w:br/>
              <w:t xml:space="preserve">Total </w:t>
            </w:r>
            <w:r w:rsidRPr="0028028E">
              <w:rPr>
                <w:rFonts w:ascii="Calibri" w:hAnsi="Calibri" w:cs="Times New Roman"/>
                <w:sz w:val="16"/>
                <w:szCs w:val="16"/>
              </w:rPr>
              <w:t>(1,026)</w:t>
            </w:r>
          </w:p>
        </w:tc>
        <w:tc>
          <w:tcPr>
            <w:tcW w:w="135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28028E" w:rsidRPr="0028028E" w:rsidRDefault="0028028E" w:rsidP="0028028E">
            <w:pPr>
              <w:rPr>
                <w:rFonts w:ascii="Calibri" w:hAnsi="Calibri" w:cs="Times New Roman"/>
              </w:rPr>
            </w:pPr>
            <w:r w:rsidRPr="0028028E">
              <w:rPr>
                <w:rFonts w:ascii="Calibri" w:hAnsi="Calibri" w:cs="Times New Roman"/>
              </w:rPr>
              <w:t>SSW/SSC %</w:t>
            </w:r>
          </w:p>
        </w:tc>
      </w:tr>
      <w:tr w:rsidR="0028028E" w:rsidRPr="0028028E" w:rsidTr="00784DAD">
        <w:trPr>
          <w:jc w:val="center"/>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28E" w:rsidRPr="0028028E" w:rsidRDefault="0028028E" w:rsidP="0028028E">
            <w:pPr>
              <w:rPr>
                <w:rFonts w:ascii="Calibri" w:hAnsi="Calibri" w:cs="Times New Roman"/>
              </w:rPr>
            </w:pPr>
            <w:r w:rsidRPr="0028028E">
              <w:rPr>
                <w:rFonts w:ascii="Calibri" w:hAnsi="Calibri" w:cs="Times New Roman"/>
              </w:rPr>
              <w:t>01</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28028E" w:rsidRPr="0028028E" w:rsidRDefault="0028028E" w:rsidP="0028028E">
            <w:pPr>
              <w:jc w:val="center"/>
              <w:rPr>
                <w:rFonts w:ascii="Calibri" w:hAnsi="Calibri" w:cs="Times New Roman"/>
              </w:rPr>
            </w:pPr>
            <w:r w:rsidRPr="0028028E">
              <w:rPr>
                <w:rFonts w:ascii="Calibri" w:hAnsi="Calibri" w:cs="Times New Roman"/>
              </w:rPr>
              <w:t>45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8028E" w:rsidRPr="0028028E" w:rsidRDefault="0028028E" w:rsidP="0028028E">
            <w:pPr>
              <w:jc w:val="center"/>
              <w:rPr>
                <w:rFonts w:ascii="Calibri" w:hAnsi="Calibri" w:cs="Times New Roman"/>
              </w:rPr>
            </w:pPr>
            <w:r w:rsidRPr="0028028E">
              <w:rPr>
                <w:rFonts w:ascii="Calibri" w:hAnsi="Calibri" w:cs="Times New Roman"/>
              </w:rPr>
              <w:t>80%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8028E" w:rsidRPr="0028028E" w:rsidRDefault="0028028E" w:rsidP="0028028E">
            <w:pPr>
              <w:jc w:val="center"/>
              <w:rPr>
                <w:rFonts w:ascii="Calibri" w:hAnsi="Calibri" w:cs="Times New Roman"/>
              </w:rPr>
            </w:pPr>
            <w:r w:rsidRPr="0028028E">
              <w:rPr>
                <w:rFonts w:ascii="Calibri" w:hAnsi="Calibri" w:cs="Times New Roman"/>
              </w:rPr>
              <w:t>797</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28028E" w:rsidRPr="0028028E" w:rsidRDefault="0028028E" w:rsidP="0028028E">
            <w:pPr>
              <w:jc w:val="center"/>
              <w:rPr>
                <w:rFonts w:ascii="Calibri" w:hAnsi="Calibri" w:cs="Times New Roman"/>
              </w:rPr>
            </w:pPr>
            <w:r w:rsidRPr="0028028E">
              <w:rPr>
                <w:rFonts w:ascii="Calibri" w:hAnsi="Calibri" w:cs="Times New Roman"/>
              </w:rPr>
              <w:t>78%</w:t>
            </w:r>
          </w:p>
        </w:tc>
      </w:tr>
      <w:tr w:rsidR="0028028E" w:rsidRPr="0028028E" w:rsidTr="00784DAD">
        <w:trPr>
          <w:jc w:val="center"/>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28E" w:rsidRPr="0028028E" w:rsidRDefault="0028028E" w:rsidP="0028028E">
            <w:pPr>
              <w:rPr>
                <w:rFonts w:ascii="Calibri" w:hAnsi="Calibri" w:cs="Times New Roman"/>
                <w:b/>
              </w:rPr>
            </w:pPr>
            <w:r w:rsidRPr="0028028E">
              <w:rPr>
                <w:rFonts w:ascii="Calibri" w:hAnsi="Calibri" w:cs="Times New Roman"/>
                <w:b/>
              </w:rPr>
              <w:t>02</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28028E" w:rsidRPr="0028028E" w:rsidRDefault="0028028E" w:rsidP="0028028E">
            <w:pPr>
              <w:jc w:val="center"/>
              <w:rPr>
                <w:rFonts w:ascii="Calibri" w:hAnsi="Calibri" w:cs="Times New Roman"/>
                <w:b/>
              </w:rPr>
            </w:pPr>
            <w:r w:rsidRPr="0028028E">
              <w:rPr>
                <w:rFonts w:ascii="Calibri" w:hAnsi="Calibri" w:cs="Times New Roman"/>
                <w:b/>
              </w:rPr>
              <w:t>55</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8028E" w:rsidRPr="0028028E" w:rsidRDefault="0028028E" w:rsidP="0028028E">
            <w:pPr>
              <w:jc w:val="center"/>
              <w:rPr>
                <w:rFonts w:ascii="Calibri" w:hAnsi="Calibri" w:cs="Times New Roman"/>
                <w:b/>
              </w:rPr>
            </w:pPr>
            <w:r w:rsidRPr="0028028E">
              <w:rPr>
                <w:rFonts w:ascii="Calibri" w:hAnsi="Calibri" w:cs="Times New Roman"/>
                <w:b/>
              </w:rPr>
              <w:t>98%</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8028E" w:rsidRPr="0028028E" w:rsidRDefault="0028028E" w:rsidP="0028028E">
            <w:pPr>
              <w:jc w:val="center"/>
              <w:rPr>
                <w:rFonts w:ascii="Calibri" w:hAnsi="Calibri" w:cs="Times New Roman"/>
                <w:b/>
              </w:rPr>
            </w:pPr>
            <w:r w:rsidRPr="0028028E">
              <w:rPr>
                <w:rFonts w:ascii="Calibri" w:hAnsi="Calibri" w:cs="Times New Roman"/>
                <w:b/>
              </w:rPr>
              <w:t>984</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28028E" w:rsidRPr="0028028E" w:rsidRDefault="0028028E" w:rsidP="0028028E">
            <w:pPr>
              <w:jc w:val="center"/>
              <w:rPr>
                <w:rFonts w:ascii="Calibri" w:hAnsi="Calibri" w:cs="Times New Roman"/>
                <w:b/>
              </w:rPr>
            </w:pPr>
            <w:r w:rsidRPr="0028028E">
              <w:rPr>
                <w:rFonts w:ascii="Calibri" w:hAnsi="Calibri" w:cs="Times New Roman"/>
                <w:b/>
              </w:rPr>
              <w:t>96%</w:t>
            </w:r>
          </w:p>
        </w:tc>
      </w:tr>
      <w:tr w:rsidR="0028028E" w:rsidRPr="0028028E" w:rsidTr="00784DAD">
        <w:trPr>
          <w:jc w:val="center"/>
        </w:trPr>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028E" w:rsidRPr="0028028E" w:rsidRDefault="0028028E" w:rsidP="0028028E">
            <w:pPr>
              <w:rPr>
                <w:rFonts w:ascii="Calibri" w:hAnsi="Calibri" w:cs="Times New Roman"/>
              </w:rPr>
            </w:pPr>
            <w:r w:rsidRPr="0028028E">
              <w:rPr>
                <w:rFonts w:ascii="Calibri" w:hAnsi="Calibri" w:cs="Times New Roman"/>
              </w:rPr>
              <w:t>03</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28028E" w:rsidRPr="0028028E" w:rsidRDefault="0028028E" w:rsidP="0028028E">
            <w:pPr>
              <w:jc w:val="center"/>
              <w:rPr>
                <w:rFonts w:ascii="Calibri" w:hAnsi="Calibri" w:cs="Times New Roman"/>
              </w:rPr>
            </w:pPr>
            <w:r w:rsidRPr="0028028E">
              <w:rPr>
                <w:rFonts w:ascii="Calibri" w:hAnsi="Calibri" w:cs="Times New Roman"/>
              </w:rPr>
              <w:t>34</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8028E" w:rsidRPr="0028028E" w:rsidRDefault="0028028E" w:rsidP="0028028E">
            <w:pPr>
              <w:jc w:val="center"/>
              <w:rPr>
                <w:rFonts w:ascii="Calibri" w:hAnsi="Calibri" w:cs="Times New Roman"/>
              </w:rPr>
            </w:pPr>
            <w:r w:rsidRPr="0028028E">
              <w:rPr>
                <w:rFonts w:ascii="Calibri" w:hAnsi="Calibri" w:cs="Times New Roman"/>
              </w:rPr>
              <w:t>61%</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8028E" w:rsidRPr="0028028E" w:rsidRDefault="0028028E" w:rsidP="0028028E">
            <w:pPr>
              <w:jc w:val="center"/>
              <w:rPr>
                <w:rFonts w:ascii="Calibri" w:hAnsi="Calibri" w:cs="Times New Roman"/>
              </w:rPr>
            </w:pPr>
            <w:r w:rsidRPr="0028028E">
              <w:rPr>
                <w:rFonts w:ascii="Calibri" w:hAnsi="Calibri" w:cs="Times New Roman"/>
              </w:rPr>
              <w:t>834</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28028E" w:rsidRPr="0028028E" w:rsidRDefault="0028028E" w:rsidP="0028028E">
            <w:pPr>
              <w:jc w:val="center"/>
              <w:rPr>
                <w:rFonts w:ascii="Calibri" w:hAnsi="Calibri" w:cs="Times New Roman"/>
              </w:rPr>
            </w:pPr>
            <w:r w:rsidRPr="0028028E">
              <w:rPr>
                <w:rFonts w:ascii="Calibri" w:hAnsi="Calibri" w:cs="Times New Roman"/>
              </w:rPr>
              <w:t>81%</w:t>
            </w:r>
          </w:p>
        </w:tc>
      </w:tr>
    </w:tbl>
    <w:p w:rsidR="0028028E" w:rsidRDefault="0028028E" w:rsidP="00436892"/>
    <w:p w:rsidR="00784DAD" w:rsidRDefault="00784DAD" w:rsidP="00784DAD">
      <w:r>
        <w:t>Notes:</w:t>
      </w:r>
    </w:p>
    <w:p w:rsidR="00784DAD" w:rsidRDefault="00A07C6A" w:rsidP="00784DAD">
      <w:r>
        <w:t>Completion of the preceding course is a prerequisite for registration for the following course; however, w</w:t>
      </w:r>
      <w:r w:rsidR="00784DAD">
        <w:t xml:space="preserve">orkers hired as part of the </w:t>
      </w:r>
      <w:r w:rsidR="005D4AD7" w:rsidRPr="005D4AD7">
        <w:t>Public Child Welfare Certification Program (PCWCP)</w:t>
      </w:r>
      <w:r w:rsidR="00784DAD">
        <w:t xml:space="preserve"> program receive the course 1 curriculum as part of their undergraduate education, and are not required to complete course 1 after employment.  So, completion rates for course 1 are lower, but do not reflect a lack of training</w:t>
      </w:r>
      <w:r>
        <w:t xml:space="preserve"> (See </w:t>
      </w:r>
      <w:r w:rsidR="004F4969" w:rsidRPr="003E576C">
        <w:t>A</w:t>
      </w:r>
      <w:r w:rsidRPr="003E576C">
        <w:t xml:space="preserve">ttachment </w:t>
      </w:r>
      <w:r w:rsidR="003428B9" w:rsidRPr="003E576C">
        <w:t>5</w:t>
      </w:r>
      <w:r>
        <w:t xml:space="preserve"> for a description of the PCWPC program)</w:t>
      </w:r>
      <w:r w:rsidR="00784DAD">
        <w:t>.</w:t>
      </w:r>
    </w:p>
    <w:p w:rsidR="0028028E" w:rsidRDefault="0028028E" w:rsidP="00436892"/>
    <w:p w:rsidR="00784DAD" w:rsidRDefault="00784DAD" w:rsidP="00784DAD">
      <w:r>
        <w:t>Course 3 was added in 2008,</w:t>
      </w:r>
      <w:r w:rsidR="00AA1C74">
        <w:t xml:space="preserve"> </w:t>
      </w:r>
      <w:r>
        <w:t xml:space="preserve">and is </w:t>
      </w:r>
      <w:r w:rsidR="002E78B1">
        <w:t>a requirement o</w:t>
      </w:r>
      <w:r>
        <w:t xml:space="preserve">nly </w:t>
      </w:r>
      <w:r w:rsidR="002E78B1">
        <w:t xml:space="preserve">for </w:t>
      </w:r>
      <w:r>
        <w:t xml:space="preserve">worker’s hired after 2008.  Course 3 contains specialized information on child sexual abuse that was previously integrated </w:t>
      </w:r>
      <w:r w:rsidR="002E78B1">
        <w:t>into</w:t>
      </w:r>
      <w:r>
        <w:t xml:space="preserve"> course 1 for personnel trained between 2001 and 2008.</w:t>
      </w:r>
      <w:r w:rsidR="00C516F6">
        <w:t xml:space="preserve">  Therefore, a lower percentage of participants for course 3 does NOT indicate that fewer personnel received that training.</w:t>
      </w:r>
    </w:p>
    <w:p w:rsidR="00784DAD" w:rsidRDefault="00784DAD">
      <w:pPr>
        <w:jc w:val="center"/>
        <w:rPr>
          <w:u w:val="single"/>
        </w:rPr>
      </w:pPr>
    </w:p>
    <w:p w:rsidR="00784DAD" w:rsidRDefault="00784DAD">
      <w:pPr>
        <w:jc w:val="center"/>
        <w:rPr>
          <w:u w:val="single"/>
        </w:rPr>
      </w:pPr>
    </w:p>
    <w:p w:rsidR="00AD5B14" w:rsidRPr="00E13B5A" w:rsidRDefault="00E13B5A" w:rsidP="00E13B5A">
      <w:pPr>
        <w:jc w:val="center"/>
        <w:rPr>
          <w:u w:val="single"/>
        </w:rPr>
      </w:pPr>
      <w:r>
        <w:rPr>
          <w:u w:val="single"/>
        </w:rPr>
        <w:t>C</w:t>
      </w:r>
      <w:r w:rsidR="00AD5B14" w:rsidRPr="00E13B5A">
        <w:rPr>
          <w:u w:val="single"/>
        </w:rPr>
        <w:t xml:space="preserve">aseload or </w:t>
      </w:r>
      <w:r>
        <w:rPr>
          <w:u w:val="single"/>
        </w:rPr>
        <w:t>W</w:t>
      </w:r>
      <w:r w:rsidR="00AD5B14" w:rsidRPr="00E13B5A">
        <w:rPr>
          <w:u w:val="single"/>
        </w:rPr>
        <w:t xml:space="preserve">orkload per </w:t>
      </w:r>
      <w:r>
        <w:rPr>
          <w:u w:val="single"/>
        </w:rPr>
        <w:t>W</w:t>
      </w:r>
      <w:r w:rsidR="00AD5B14" w:rsidRPr="00E13B5A">
        <w:rPr>
          <w:u w:val="single"/>
        </w:rPr>
        <w:t xml:space="preserve">orker and </w:t>
      </w:r>
      <w:r>
        <w:rPr>
          <w:u w:val="single"/>
        </w:rPr>
        <w:t>S</w:t>
      </w:r>
      <w:r w:rsidR="00AD5B14" w:rsidRPr="00E13B5A">
        <w:rPr>
          <w:u w:val="single"/>
        </w:rPr>
        <w:t>upervisor</w:t>
      </w:r>
    </w:p>
    <w:p w:rsidR="004F5450" w:rsidRDefault="00AA1C74" w:rsidP="00E13B5A">
      <w:r>
        <w:t xml:space="preserve">No regulation or statute prescribes caseload limits for supervisors.  </w:t>
      </w:r>
      <w:r w:rsidR="004F5450">
        <w:t xml:space="preserve">Caseload or workload requirements for all workers, regardless of an internal specialization are prescribed by statute:  </w:t>
      </w:r>
      <w:hyperlink r:id="rId29" w:history="1">
        <w:r w:rsidR="00E13B5A" w:rsidRPr="00E13B5A">
          <w:rPr>
            <w:rStyle w:val="Hyperlink"/>
          </w:rPr>
          <w:t>KRS</w:t>
        </w:r>
        <w:r w:rsidR="004F5450" w:rsidRPr="00E13B5A">
          <w:rPr>
            <w:rStyle w:val="Hyperlink"/>
          </w:rPr>
          <w:t>199.461 Monthly statewide caseload average for social service workers --Requirement of report if average in excess of specified quantity</w:t>
        </w:r>
      </w:hyperlink>
      <w:r w:rsidR="004F5450">
        <w:t>.</w:t>
      </w:r>
      <w:r w:rsidR="00E13B5A" w:rsidRPr="00E13B5A">
        <w:t xml:space="preserve"> </w:t>
      </w:r>
      <w:r w:rsidR="00E13B5A">
        <w:t xml:space="preserve">   </w:t>
      </w:r>
    </w:p>
    <w:p w:rsidR="004F5450" w:rsidRDefault="004F5450" w:rsidP="00E13B5A">
      <w:pPr>
        <w:pStyle w:val="ListParagraph"/>
        <w:numPr>
          <w:ilvl w:val="0"/>
          <w:numId w:val="12"/>
        </w:numPr>
        <w:ind w:left="540" w:hanging="270"/>
      </w:pPr>
      <w:r>
        <w:t>As used in this section, "social service worker" means a social worker employed by the Cabinet for Health and Family Services, Department for Community Based Services, to provide direct casework services in foster care, child protection, juvenile services, or adult protection.</w:t>
      </w:r>
    </w:p>
    <w:p w:rsidR="004F5450" w:rsidRDefault="004F5450" w:rsidP="00E13B5A">
      <w:pPr>
        <w:pStyle w:val="ListParagraph"/>
        <w:numPr>
          <w:ilvl w:val="0"/>
          <w:numId w:val="12"/>
        </w:numPr>
        <w:ind w:left="540" w:hanging="270"/>
      </w:pPr>
      <w:r>
        <w:t>As used in this section, "active case" includes the total number of cases for which the family service worker has responsibility.</w:t>
      </w:r>
    </w:p>
    <w:p w:rsidR="004F5450" w:rsidRDefault="004F5450" w:rsidP="00E13B5A">
      <w:pPr>
        <w:pStyle w:val="ListParagraph"/>
        <w:numPr>
          <w:ilvl w:val="0"/>
          <w:numId w:val="12"/>
        </w:numPr>
        <w:ind w:left="540" w:hanging="270"/>
      </w:pPr>
      <w:r>
        <w:t>The monthly statewide caseload average for social service workers in the area of foster care, child protection, juvenile services, or adult protection shall not exceed twenty-five (25) active cases.</w:t>
      </w:r>
    </w:p>
    <w:p w:rsidR="004F5450" w:rsidRDefault="004F5450" w:rsidP="00E13B5A">
      <w:pPr>
        <w:pStyle w:val="ListParagraph"/>
        <w:numPr>
          <w:ilvl w:val="0"/>
          <w:numId w:val="12"/>
        </w:numPr>
        <w:ind w:left="540" w:hanging="270"/>
      </w:pPr>
      <w:r>
        <w:t>Nothing in this section shall prevent the department or a social service worker from handling emergencies to carry out statutory mandates</w:t>
      </w:r>
      <w:r w:rsidR="00AA1C74">
        <w:t xml:space="preserve">.  </w:t>
      </w:r>
      <w:r>
        <w:t>If the monthly statewide caseload average for social service workers exceeds twenty-five (25) active cases for ninety (90) consecutive days, the department shall report the fact to the Governor and to the Legislative Research Commission together with a description of the factors contributing thereto and shall make recommendations related thereto.  The report shall include, by county and district, social service worker caseload averages; the number of established social service worker positions; and the number of vacant social service worker positions.</w:t>
      </w:r>
    </w:p>
    <w:p w:rsidR="004F5450" w:rsidRPr="00AD5B14" w:rsidRDefault="004F5450" w:rsidP="004F5450">
      <w:pPr>
        <w:ind w:left="1800"/>
      </w:pPr>
    </w:p>
    <w:p w:rsidR="009E210A" w:rsidRDefault="009E210A" w:rsidP="009E210A">
      <w:pPr>
        <w:jc w:val="center"/>
        <w:rPr>
          <w:u w:val="single"/>
        </w:rPr>
      </w:pPr>
    </w:p>
    <w:p w:rsidR="009E210A" w:rsidRDefault="00876655" w:rsidP="00A07C6A">
      <w:pPr>
        <w:pStyle w:val="Heading1"/>
        <w:numPr>
          <w:ilvl w:val="0"/>
          <w:numId w:val="1"/>
        </w:numPr>
        <w:ind w:left="180" w:hanging="180"/>
      </w:pPr>
      <w:r>
        <w:t>State Liaison Officer</w:t>
      </w:r>
    </w:p>
    <w:p w:rsidR="004F4969" w:rsidRDefault="004F4969" w:rsidP="00876655"/>
    <w:p w:rsidR="00876655" w:rsidRDefault="00876655" w:rsidP="00876655">
      <w:r w:rsidRPr="00876655">
        <w:t>Please direct any questions or concerns to the state’s CAPTA coordinator, Gretchen Marshall.</w:t>
      </w:r>
    </w:p>
    <w:p w:rsidR="00BF4C7C" w:rsidRDefault="00BF4C7C" w:rsidP="00876655"/>
    <w:p w:rsidR="00876655" w:rsidRPr="00876655" w:rsidRDefault="00876655" w:rsidP="00876655">
      <w:r w:rsidRPr="00876655">
        <w:t>Gretchen Marshall</w:t>
      </w:r>
    </w:p>
    <w:p w:rsidR="00876655" w:rsidRPr="00876655" w:rsidRDefault="009F6B6E" w:rsidP="00876655">
      <w:hyperlink r:id="rId30" w:history="1">
        <w:r w:rsidR="00876655" w:rsidRPr="00876655">
          <w:rPr>
            <w:rStyle w:val="Hyperlink"/>
            <w:u w:val="none"/>
          </w:rPr>
          <w:t>Gretchen.Marshall@ky.gov</w:t>
        </w:r>
      </w:hyperlink>
    </w:p>
    <w:p w:rsidR="00876655" w:rsidRPr="00876655" w:rsidRDefault="00876655" w:rsidP="00876655">
      <w:r w:rsidRPr="00876655">
        <w:t>Department for Community Based Services</w:t>
      </w:r>
    </w:p>
    <w:p w:rsidR="00876655" w:rsidRPr="00876655" w:rsidRDefault="00876655" w:rsidP="00876655">
      <w:r w:rsidRPr="00876655">
        <w:t>Division of Protection and Permanency</w:t>
      </w:r>
    </w:p>
    <w:p w:rsidR="00876655" w:rsidRPr="00876655" w:rsidRDefault="00876655" w:rsidP="00876655">
      <w:r w:rsidRPr="00876655">
        <w:t>275 E Main; 3C-C</w:t>
      </w:r>
    </w:p>
    <w:p w:rsidR="001E5F47" w:rsidRPr="00277B9F" w:rsidRDefault="00876655">
      <w:r w:rsidRPr="00876655">
        <w:t>Frankfort</w:t>
      </w:r>
      <w:r w:rsidR="00AA1C74" w:rsidRPr="00876655">
        <w:t>, KY</w:t>
      </w:r>
      <w:r w:rsidRPr="00876655">
        <w:t xml:space="preserve">  40621</w:t>
      </w:r>
    </w:p>
    <w:sectPr w:rsidR="001E5F47" w:rsidRPr="00277B9F" w:rsidSect="004F4969">
      <w:footerReference w:type="default" r:id="rId31"/>
      <w:footerReference w:type="first" r:id="rId3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969" w:rsidRDefault="004F4969" w:rsidP="004F4969">
      <w:r>
        <w:separator/>
      </w:r>
    </w:p>
  </w:endnote>
  <w:endnote w:type="continuationSeparator" w:id="0">
    <w:p w:rsidR="004F4969" w:rsidRDefault="004F4969" w:rsidP="004F49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731970"/>
      <w:docPartObj>
        <w:docPartGallery w:val="Page Numbers (Bottom of Page)"/>
        <w:docPartUnique/>
      </w:docPartObj>
    </w:sdtPr>
    <w:sdtContent>
      <w:p w:rsidR="004F4969" w:rsidRDefault="009F6B6E">
        <w:pPr>
          <w:pStyle w:val="Footer"/>
          <w:jc w:val="right"/>
        </w:pPr>
        <w:fldSimple w:instr=" PAGE   \* MERGEFORMAT ">
          <w:r w:rsidR="003E576C">
            <w:rPr>
              <w:noProof/>
            </w:rPr>
            <w:t>8</w:t>
          </w:r>
        </w:fldSimple>
      </w:p>
    </w:sdtContent>
  </w:sdt>
  <w:p w:rsidR="004F4969" w:rsidRDefault="004F49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72454"/>
      <w:docPartObj>
        <w:docPartGallery w:val="Page Numbers (Bottom of Page)"/>
        <w:docPartUnique/>
      </w:docPartObj>
    </w:sdtPr>
    <w:sdtContent>
      <w:p w:rsidR="00957FB8" w:rsidRDefault="009F6B6E">
        <w:pPr>
          <w:pStyle w:val="Footer"/>
          <w:jc w:val="right"/>
        </w:pPr>
        <w:fldSimple w:instr=" PAGE   \* MERGEFORMAT ">
          <w:r w:rsidR="003E576C">
            <w:rPr>
              <w:noProof/>
            </w:rPr>
            <w:t>1</w:t>
          </w:r>
        </w:fldSimple>
      </w:p>
    </w:sdtContent>
  </w:sdt>
  <w:p w:rsidR="00957FB8" w:rsidRDefault="00957F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969" w:rsidRDefault="004F4969" w:rsidP="004F4969">
      <w:r>
        <w:separator/>
      </w:r>
    </w:p>
  </w:footnote>
  <w:footnote w:type="continuationSeparator" w:id="0">
    <w:p w:rsidR="004F4969" w:rsidRDefault="004F4969" w:rsidP="004F49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2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2A52701"/>
    <w:multiLevelType w:val="hybridMultilevel"/>
    <w:tmpl w:val="0D9095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0038C2"/>
    <w:multiLevelType w:val="hybridMultilevel"/>
    <w:tmpl w:val="338A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256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EA2764"/>
    <w:multiLevelType w:val="hybridMultilevel"/>
    <w:tmpl w:val="AFAA79DC"/>
    <w:lvl w:ilvl="0" w:tplc="83EEAFD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365ADE"/>
    <w:multiLevelType w:val="hybridMultilevel"/>
    <w:tmpl w:val="6BEE1D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4F50B8"/>
    <w:multiLevelType w:val="hybridMultilevel"/>
    <w:tmpl w:val="0409000F"/>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F8F7AA5"/>
    <w:multiLevelType w:val="hybridMultilevel"/>
    <w:tmpl w:val="D546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CC07C9"/>
    <w:multiLevelType w:val="hybridMultilevel"/>
    <w:tmpl w:val="91C6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710289"/>
    <w:multiLevelType w:val="hybridMultilevel"/>
    <w:tmpl w:val="F000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6443B9"/>
    <w:multiLevelType w:val="hybridMultilevel"/>
    <w:tmpl w:val="950A2B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103354"/>
    <w:multiLevelType w:val="hybridMultilevel"/>
    <w:tmpl w:val="A07C45B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E2A5CA7"/>
    <w:multiLevelType w:val="hybridMultilevel"/>
    <w:tmpl w:val="689CA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564937"/>
    <w:multiLevelType w:val="hybridMultilevel"/>
    <w:tmpl w:val="F2EAB8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1A2617"/>
    <w:multiLevelType w:val="hybridMultilevel"/>
    <w:tmpl w:val="DBB65548"/>
    <w:lvl w:ilvl="0" w:tplc="0BE6DD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E7C0B11"/>
    <w:multiLevelType w:val="hybridMultilevel"/>
    <w:tmpl w:val="7C8C8C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195F69"/>
    <w:multiLevelType w:val="hybridMultilevel"/>
    <w:tmpl w:val="288CDB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3036B9"/>
    <w:multiLevelType w:val="hybridMultilevel"/>
    <w:tmpl w:val="C04A7F46"/>
    <w:lvl w:ilvl="0" w:tplc="EA9E62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1EE24F1"/>
    <w:multiLevelType w:val="hybridMultilevel"/>
    <w:tmpl w:val="59E89654"/>
    <w:lvl w:ilvl="0" w:tplc="83EEAFDA">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C930B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2B436EC"/>
    <w:multiLevelType w:val="hybridMultilevel"/>
    <w:tmpl w:val="76D65008"/>
    <w:lvl w:ilvl="0" w:tplc="11A68546">
      <w:start w:val="1"/>
      <w:numFmt w:val="upperRoman"/>
      <w:lvlText w:val="%1."/>
      <w:lvlJc w:val="righ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9CD0D80"/>
    <w:multiLevelType w:val="hybridMultilevel"/>
    <w:tmpl w:val="1138EB22"/>
    <w:lvl w:ilvl="0" w:tplc="0BE6DD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D1E4C6D"/>
    <w:multiLevelType w:val="hybridMultilevel"/>
    <w:tmpl w:val="8E62C8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6"/>
  </w:num>
  <w:num w:numId="4">
    <w:abstractNumId w:val="0"/>
  </w:num>
  <w:num w:numId="5">
    <w:abstractNumId w:val="19"/>
  </w:num>
  <w:num w:numId="6">
    <w:abstractNumId w:val="21"/>
  </w:num>
  <w:num w:numId="7">
    <w:abstractNumId w:val="14"/>
  </w:num>
  <w:num w:numId="8">
    <w:abstractNumId w:val="10"/>
  </w:num>
  <w:num w:numId="9">
    <w:abstractNumId w:val="18"/>
  </w:num>
  <w:num w:numId="10">
    <w:abstractNumId w:val="4"/>
  </w:num>
  <w:num w:numId="11">
    <w:abstractNumId w:val="8"/>
  </w:num>
  <w:num w:numId="12">
    <w:abstractNumId w:val="11"/>
  </w:num>
  <w:num w:numId="13">
    <w:abstractNumId w:val="17"/>
  </w:num>
  <w:num w:numId="14">
    <w:abstractNumId w:val="12"/>
  </w:num>
  <w:num w:numId="15">
    <w:abstractNumId w:val="9"/>
  </w:num>
  <w:num w:numId="16">
    <w:abstractNumId w:val="5"/>
  </w:num>
  <w:num w:numId="17">
    <w:abstractNumId w:val="1"/>
  </w:num>
  <w:num w:numId="18">
    <w:abstractNumId w:val="13"/>
  </w:num>
  <w:num w:numId="19">
    <w:abstractNumId w:val="22"/>
  </w:num>
  <w:num w:numId="20">
    <w:abstractNumId w:val="15"/>
  </w:num>
  <w:num w:numId="21">
    <w:abstractNumId w:val="16"/>
  </w:num>
  <w:num w:numId="22">
    <w:abstractNumId w:val="2"/>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0061B"/>
    <w:rsid w:val="00043792"/>
    <w:rsid w:val="00067839"/>
    <w:rsid w:val="000A1328"/>
    <w:rsid w:val="000B0390"/>
    <w:rsid w:val="000C2904"/>
    <w:rsid w:val="000C4812"/>
    <w:rsid w:val="001144AC"/>
    <w:rsid w:val="00147A18"/>
    <w:rsid w:val="0019009A"/>
    <w:rsid w:val="00190EFA"/>
    <w:rsid w:val="0019614A"/>
    <w:rsid w:val="001E5F47"/>
    <w:rsid w:val="001F43CC"/>
    <w:rsid w:val="00256261"/>
    <w:rsid w:val="00276941"/>
    <w:rsid w:val="00277B9F"/>
    <w:rsid w:val="0028028E"/>
    <w:rsid w:val="00282E1B"/>
    <w:rsid w:val="002E78B1"/>
    <w:rsid w:val="003428B9"/>
    <w:rsid w:val="00385086"/>
    <w:rsid w:val="003D134B"/>
    <w:rsid w:val="003E576C"/>
    <w:rsid w:val="003F7A3F"/>
    <w:rsid w:val="0041336C"/>
    <w:rsid w:val="00436892"/>
    <w:rsid w:val="004556AD"/>
    <w:rsid w:val="004668F6"/>
    <w:rsid w:val="004962CE"/>
    <w:rsid w:val="0049674F"/>
    <w:rsid w:val="004A60A7"/>
    <w:rsid w:val="004C51B0"/>
    <w:rsid w:val="004F4969"/>
    <w:rsid w:val="004F5450"/>
    <w:rsid w:val="00501F77"/>
    <w:rsid w:val="00591604"/>
    <w:rsid w:val="005D4AD7"/>
    <w:rsid w:val="005E1BED"/>
    <w:rsid w:val="00617ED8"/>
    <w:rsid w:val="00633118"/>
    <w:rsid w:val="00673DD0"/>
    <w:rsid w:val="006A7040"/>
    <w:rsid w:val="006E54BE"/>
    <w:rsid w:val="006F445C"/>
    <w:rsid w:val="007172FD"/>
    <w:rsid w:val="00726197"/>
    <w:rsid w:val="00727AAB"/>
    <w:rsid w:val="00743C80"/>
    <w:rsid w:val="00763A6D"/>
    <w:rsid w:val="00784DAD"/>
    <w:rsid w:val="00796824"/>
    <w:rsid w:val="007C3BE9"/>
    <w:rsid w:val="0081706F"/>
    <w:rsid w:val="00876655"/>
    <w:rsid w:val="008D7D10"/>
    <w:rsid w:val="00956CE7"/>
    <w:rsid w:val="00957FB8"/>
    <w:rsid w:val="0098566C"/>
    <w:rsid w:val="009D3B06"/>
    <w:rsid w:val="009E04E5"/>
    <w:rsid w:val="009E210A"/>
    <w:rsid w:val="009F6B6E"/>
    <w:rsid w:val="00A022B8"/>
    <w:rsid w:val="00A03FBE"/>
    <w:rsid w:val="00A07C6A"/>
    <w:rsid w:val="00A31FC2"/>
    <w:rsid w:val="00A6471F"/>
    <w:rsid w:val="00A83F7D"/>
    <w:rsid w:val="00AA1C74"/>
    <w:rsid w:val="00AD5B14"/>
    <w:rsid w:val="00AE0BD3"/>
    <w:rsid w:val="00AF71E6"/>
    <w:rsid w:val="00B435E4"/>
    <w:rsid w:val="00B6156A"/>
    <w:rsid w:val="00B832F9"/>
    <w:rsid w:val="00B84B74"/>
    <w:rsid w:val="00BA5A94"/>
    <w:rsid w:val="00BA5AFC"/>
    <w:rsid w:val="00BB1EC5"/>
    <w:rsid w:val="00BB7177"/>
    <w:rsid w:val="00BE382B"/>
    <w:rsid w:val="00BE568E"/>
    <w:rsid w:val="00BF4C7C"/>
    <w:rsid w:val="00C0061B"/>
    <w:rsid w:val="00C174A5"/>
    <w:rsid w:val="00C37C59"/>
    <w:rsid w:val="00C516F6"/>
    <w:rsid w:val="00C72A8E"/>
    <w:rsid w:val="00CA088F"/>
    <w:rsid w:val="00CB2523"/>
    <w:rsid w:val="00CE6058"/>
    <w:rsid w:val="00D04351"/>
    <w:rsid w:val="00DB482A"/>
    <w:rsid w:val="00DE5D5D"/>
    <w:rsid w:val="00DE70C8"/>
    <w:rsid w:val="00E02E95"/>
    <w:rsid w:val="00E05A49"/>
    <w:rsid w:val="00E13B5A"/>
    <w:rsid w:val="00E44813"/>
    <w:rsid w:val="00E47C4D"/>
    <w:rsid w:val="00E53D1E"/>
    <w:rsid w:val="00E74982"/>
    <w:rsid w:val="00E8456B"/>
    <w:rsid w:val="00E92091"/>
    <w:rsid w:val="00EB0D9F"/>
    <w:rsid w:val="00EC4AB5"/>
    <w:rsid w:val="00F22B43"/>
    <w:rsid w:val="00F551B3"/>
    <w:rsid w:val="00F925B4"/>
    <w:rsid w:val="00FB58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61B"/>
    <w:pPr>
      <w:spacing w:after="0" w:line="240" w:lineRule="auto"/>
    </w:pPr>
    <w:rPr>
      <w:rFonts w:ascii="Arial" w:hAnsi="Arial"/>
    </w:rPr>
  </w:style>
  <w:style w:type="paragraph" w:styleId="Heading1">
    <w:name w:val="heading 1"/>
    <w:basedOn w:val="Normal"/>
    <w:next w:val="Normal"/>
    <w:link w:val="Heading1Char"/>
    <w:qFormat/>
    <w:rsid w:val="00C0061B"/>
    <w:pPr>
      <w:keepNext/>
      <w:outlineLvl w:val="0"/>
    </w:pPr>
    <w:rPr>
      <w:rFonts w:eastAsia="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061B"/>
    <w:rPr>
      <w:rFonts w:ascii="Arial" w:eastAsia="Times New Roman" w:hAnsi="Arial" w:cs="Times New Roman"/>
      <w:b/>
      <w:sz w:val="24"/>
      <w:szCs w:val="20"/>
      <w:u w:val="single"/>
    </w:rPr>
  </w:style>
  <w:style w:type="paragraph" w:styleId="BodyText">
    <w:name w:val="Body Text"/>
    <w:basedOn w:val="Normal"/>
    <w:link w:val="BodyTextChar"/>
    <w:rsid w:val="00C0061B"/>
    <w:pPr>
      <w:jc w:val="center"/>
    </w:pPr>
    <w:rPr>
      <w:rFonts w:eastAsia="Times New Roman" w:cs="Times New Roman"/>
      <w:b/>
      <w:sz w:val="28"/>
      <w:szCs w:val="20"/>
    </w:rPr>
  </w:style>
  <w:style w:type="character" w:customStyle="1" w:styleId="BodyTextChar">
    <w:name w:val="Body Text Char"/>
    <w:basedOn w:val="DefaultParagraphFont"/>
    <w:link w:val="BodyText"/>
    <w:rsid w:val="00C0061B"/>
    <w:rPr>
      <w:rFonts w:ascii="Arial" w:eastAsia="Times New Roman" w:hAnsi="Arial" w:cs="Times New Roman"/>
      <w:b/>
      <w:sz w:val="28"/>
      <w:szCs w:val="20"/>
    </w:rPr>
  </w:style>
  <w:style w:type="character" w:styleId="Hyperlink">
    <w:name w:val="Hyperlink"/>
    <w:basedOn w:val="DefaultParagraphFont"/>
    <w:rsid w:val="00C0061B"/>
    <w:rPr>
      <w:color w:val="0000FF"/>
      <w:u w:val="single"/>
    </w:rPr>
  </w:style>
  <w:style w:type="character" w:customStyle="1" w:styleId="EmailStyle19">
    <w:name w:val="EmailStyle191"/>
    <w:aliases w:val="EmailStyle191"/>
    <w:basedOn w:val="DefaultParagraphFont"/>
    <w:semiHidden/>
    <w:personal/>
    <w:personalCompose/>
    <w:rsid w:val="00C0061B"/>
    <w:rPr>
      <w:rFonts w:ascii="Calibri" w:hAnsi="Calibri"/>
      <w:b w:val="0"/>
      <w:bCs w:val="0"/>
      <w:i w:val="0"/>
      <w:iCs w:val="0"/>
      <w:strike w:val="0"/>
      <w:color w:val="auto"/>
      <w:sz w:val="24"/>
      <w:szCs w:val="24"/>
      <w:u w:val="none"/>
    </w:rPr>
  </w:style>
  <w:style w:type="paragraph" w:styleId="Header">
    <w:name w:val="header"/>
    <w:basedOn w:val="Normal"/>
    <w:link w:val="HeaderChar"/>
    <w:uiPriority w:val="99"/>
    <w:rsid w:val="00C0061B"/>
    <w:pPr>
      <w:tabs>
        <w:tab w:val="center" w:pos="4320"/>
        <w:tab w:val="right" w:pos="8640"/>
      </w:tabs>
    </w:pPr>
    <w:rPr>
      <w:rFonts w:eastAsia="Times New Roman" w:cs="Times New Roman"/>
      <w:sz w:val="24"/>
      <w:szCs w:val="20"/>
    </w:rPr>
  </w:style>
  <w:style w:type="character" w:customStyle="1" w:styleId="HeaderChar">
    <w:name w:val="Header Char"/>
    <w:basedOn w:val="DefaultParagraphFont"/>
    <w:link w:val="Header"/>
    <w:uiPriority w:val="99"/>
    <w:rsid w:val="00C0061B"/>
    <w:rPr>
      <w:rFonts w:ascii="Arial" w:eastAsia="Times New Roman" w:hAnsi="Arial" w:cs="Times New Roman"/>
      <w:sz w:val="24"/>
      <w:szCs w:val="20"/>
    </w:rPr>
  </w:style>
  <w:style w:type="character" w:styleId="CommentReference">
    <w:name w:val="annotation reference"/>
    <w:basedOn w:val="DefaultParagraphFont"/>
    <w:uiPriority w:val="99"/>
    <w:unhideWhenUsed/>
    <w:rsid w:val="00436892"/>
    <w:rPr>
      <w:sz w:val="16"/>
      <w:szCs w:val="16"/>
    </w:rPr>
  </w:style>
  <w:style w:type="paragraph" w:styleId="CommentText">
    <w:name w:val="annotation text"/>
    <w:basedOn w:val="Normal"/>
    <w:link w:val="CommentTextChar"/>
    <w:uiPriority w:val="99"/>
    <w:unhideWhenUsed/>
    <w:rsid w:val="00436892"/>
    <w:rPr>
      <w:sz w:val="20"/>
      <w:szCs w:val="20"/>
    </w:rPr>
  </w:style>
  <w:style w:type="character" w:customStyle="1" w:styleId="CommentTextChar">
    <w:name w:val="Comment Text Char"/>
    <w:basedOn w:val="DefaultParagraphFont"/>
    <w:link w:val="CommentText"/>
    <w:uiPriority w:val="99"/>
    <w:rsid w:val="00436892"/>
    <w:rPr>
      <w:rFonts w:ascii="Arial" w:hAnsi="Arial"/>
      <w:sz w:val="20"/>
      <w:szCs w:val="20"/>
    </w:rPr>
  </w:style>
  <w:style w:type="paragraph" w:styleId="BalloonText">
    <w:name w:val="Balloon Text"/>
    <w:basedOn w:val="Normal"/>
    <w:link w:val="BalloonTextChar"/>
    <w:uiPriority w:val="99"/>
    <w:semiHidden/>
    <w:unhideWhenUsed/>
    <w:rsid w:val="00436892"/>
    <w:rPr>
      <w:rFonts w:ascii="Tahoma" w:hAnsi="Tahoma" w:cs="Tahoma"/>
      <w:sz w:val="16"/>
      <w:szCs w:val="16"/>
    </w:rPr>
  </w:style>
  <w:style w:type="character" w:customStyle="1" w:styleId="BalloonTextChar">
    <w:name w:val="Balloon Text Char"/>
    <w:basedOn w:val="DefaultParagraphFont"/>
    <w:link w:val="BalloonText"/>
    <w:uiPriority w:val="99"/>
    <w:semiHidden/>
    <w:rsid w:val="00436892"/>
    <w:rPr>
      <w:rFonts w:ascii="Tahoma" w:hAnsi="Tahoma" w:cs="Tahoma"/>
      <w:sz w:val="16"/>
      <w:szCs w:val="16"/>
    </w:rPr>
  </w:style>
  <w:style w:type="paragraph" w:styleId="DocumentMap">
    <w:name w:val="Document Map"/>
    <w:basedOn w:val="Normal"/>
    <w:link w:val="DocumentMapChar"/>
    <w:uiPriority w:val="99"/>
    <w:semiHidden/>
    <w:unhideWhenUsed/>
    <w:rsid w:val="0041336C"/>
    <w:rPr>
      <w:rFonts w:ascii="Tahoma" w:hAnsi="Tahoma" w:cs="Tahoma"/>
      <w:sz w:val="16"/>
      <w:szCs w:val="16"/>
    </w:rPr>
  </w:style>
  <w:style w:type="character" w:customStyle="1" w:styleId="DocumentMapChar">
    <w:name w:val="Document Map Char"/>
    <w:basedOn w:val="DefaultParagraphFont"/>
    <w:link w:val="DocumentMap"/>
    <w:uiPriority w:val="99"/>
    <w:semiHidden/>
    <w:rsid w:val="0041336C"/>
    <w:rPr>
      <w:rFonts w:ascii="Tahoma" w:hAnsi="Tahoma" w:cs="Tahoma"/>
      <w:sz w:val="16"/>
      <w:szCs w:val="16"/>
    </w:rPr>
  </w:style>
  <w:style w:type="paragraph" w:styleId="ListParagraph">
    <w:name w:val="List Paragraph"/>
    <w:basedOn w:val="Normal"/>
    <w:uiPriority w:val="34"/>
    <w:qFormat/>
    <w:rsid w:val="00AD5B14"/>
    <w:pPr>
      <w:ind w:left="720"/>
      <w:contextualSpacing/>
    </w:pPr>
  </w:style>
  <w:style w:type="table" w:styleId="TableGrid">
    <w:name w:val="Table Grid"/>
    <w:basedOn w:val="TableNormal"/>
    <w:uiPriority w:val="59"/>
    <w:rsid w:val="00A03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F4969"/>
    <w:pPr>
      <w:tabs>
        <w:tab w:val="center" w:pos="4680"/>
        <w:tab w:val="right" w:pos="9360"/>
      </w:tabs>
    </w:pPr>
  </w:style>
  <w:style w:type="character" w:customStyle="1" w:styleId="FooterChar">
    <w:name w:val="Footer Char"/>
    <w:basedOn w:val="DefaultParagraphFont"/>
    <w:link w:val="Footer"/>
    <w:uiPriority w:val="99"/>
    <w:rsid w:val="004F4969"/>
    <w:rPr>
      <w:rFonts w:ascii="Arial" w:hAnsi="Arial"/>
    </w:rPr>
  </w:style>
</w:styles>
</file>

<file path=word/webSettings.xml><?xml version="1.0" encoding="utf-8"?>
<w:webSettings xmlns:r="http://schemas.openxmlformats.org/officeDocument/2006/relationships" xmlns:w="http://schemas.openxmlformats.org/wordprocessingml/2006/main">
  <w:divs>
    <w:div w:id="845636329">
      <w:bodyDiv w:val="1"/>
      <w:marLeft w:val="0"/>
      <w:marRight w:val="0"/>
      <w:marTop w:val="0"/>
      <w:marBottom w:val="0"/>
      <w:divBdr>
        <w:top w:val="none" w:sz="0" w:space="0" w:color="auto"/>
        <w:left w:val="none" w:sz="0" w:space="0" w:color="auto"/>
        <w:bottom w:val="none" w:sz="0" w:space="0" w:color="auto"/>
        <w:right w:val="none" w:sz="0" w:space="0" w:color="auto"/>
      </w:divBdr>
    </w:div>
    <w:div w:id="131106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anuals.sp.chfs.ky.gov/chapter1/00/Pages/19WorkingWithServiceProviders.aspx" TargetMode="External"/><Relationship Id="rId18" Type="http://schemas.openxmlformats.org/officeDocument/2006/relationships/hyperlink" Target="http://personnel.ky.gov/NR/rdonlyres/9DD7B8B9-24E4-4C60-8F5D-F43A8EB0630C/0/6221.doc" TargetMode="External"/><Relationship Id="rId26" Type="http://schemas.openxmlformats.org/officeDocument/2006/relationships/hyperlink" Target="http://personnel.ky.gov/NR/rdonlyres/18B90829-9F9A-4934-AAEE-136CDDF124E3/0/9429.doc" TargetMode="External"/><Relationship Id="rId21" Type="http://schemas.openxmlformats.org/officeDocument/2006/relationships/hyperlink" Target="http://personnel.ky.gov/NR/rdonlyres/57262C1D-EAF5-4C3B-9575-F566BD5038F5/0/6260.doc" TargetMode="External"/><Relationship Id="rId34" Type="http://schemas.openxmlformats.org/officeDocument/2006/relationships/theme" Target="theme/theme1.xml"/><Relationship Id="rId7" Type="http://schemas.openxmlformats.org/officeDocument/2006/relationships/hyperlink" Target="http://manuals.sp.chfs.ky.gov/chapter%203/06/Pages/34PreparationfortheInitialCasePlanningConference.aspx" TargetMode="External"/><Relationship Id="rId12" Type="http://schemas.openxmlformats.org/officeDocument/2006/relationships/hyperlink" Target="http://manuals.sp.chfs.ky.gov/Resources/Related%20Resources%20Library/Strengths%20in%20Families%20Worksheet.doc" TargetMode="External"/><Relationship Id="rId17" Type="http://schemas.openxmlformats.org/officeDocument/2006/relationships/hyperlink" Target="http://personnel.ky.gov/NR/rdonlyres/5A044C38-FE80-4714-8861-A987FA8F564F/0/6220.doc" TargetMode="External"/><Relationship Id="rId25" Type="http://schemas.openxmlformats.org/officeDocument/2006/relationships/hyperlink" Target="http://personnel.ky.gov/NR/rdonlyres/FB1AE2BC-9270-4761-8C98-286144BAFEE5/0/6224.do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anuals.sp.chfs.ky.gov/chapter2/02/Pages/21ReceivingtheReport.aspx" TargetMode="External"/><Relationship Id="rId20" Type="http://schemas.openxmlformats.org/officeDocument/2006/relationships/hyperlink" Target="http://personnel.ky.gov/NR/rdonlyres/9103E3ED-8DF5-4B94-9CC7-617D89A6B3EE/0/6223.doc" TargetMode="External"/><Relationship Id="rId29" Type="http://schemas.openxmlformats.org/officeDocument/2006/relationships/hyperlink" Target="http://www.lrc.ky.gov/krs/199-00/46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nuals.sp.chfs.ky.gov/Resources/Related%20Resources%20Library/Promoting%20Family%20Team%20Meetings%20(FTM)%20Tip%20Sheet.doc" TargetMode="External"/><Relationship Id="rId24" Type="http://schemas.openxmlformats.org/officeDocument/2006/relationships/hyperlink" Target="http://personnel.ky.gov/NR/rdonlyres/0CD4F8B8-8266-4859-ABF6-66017BEC8B4F/0/6520.doc" TargetMode="External"/><Relationship Id="rId32" Type="http://schemas.openxmlformats.org/officeDocument/2006/relationships/footer" Target="footer2.xm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manuals.sp.chfs.ky.gov/Resources/Related%20Resources%20Library/Partnerships%20for%20Service-A%20Manual%20of%20Collaboration%20for%20Kentuckys%20Social%20Service%20and%20Mental%20Health%20Agencies.doc" TargetMode="External"/><Relationship Id="rId23" Type="http://schemas.openxmlformats.org/officeDocument/2006/relationships/hyperlink" Target="http://personnel.ky.gov/NR/rdonlyres/1DCB6D1B-EF23-49B8-A2AE-2494E01CD57C/0/6524.doc" TargetMode="External"/><Relationship Id="rId28" Type="http://schemas.openxmlformats.org/officeDocument/2006/relationships/hyperlink" Target="http://personnel.ky.gov/NR/rdonlyres/EFB1F8C9-F78B-416C-BE65-86D9035764E7/0/9617.doc" TargetMode="External"/><Relationship Id="rId36" Type="http://schemas.openxmlformats.org/officeDocument/2006/relationships/customXml" Target="../customXml/item2.xml"/><Relationship Id="rId10" Type="http://schemas.openxmlformats.org/officeDocument/2006/relationships/hyperlink" Target="http://manuals.sp.chfs.ky.gov/Resources/Related%20Resources%20Library/Involvement%20of%20Fathers%20Tip%20Sheet.doc" TargetMode="External"/><Relationship Id="rId19" Type="http://schemas.openxmlformats.org/officeDocument/2006/relationships/hyperlink" Target="http://personnel.ky.gov/NR/rdonlyres/3AEA7232-FEC1-4D36-AAEC-131AA4BFF8E5/0/6222.doc"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anuals.sp.chfs.ky.gov/Resources/Related%20Resources%20Library/Visitation%20Between%20Caseworker,%20Child(ren)%20and%20Care%20Provider%20Tip%20Sheet.doc" TargetMode="External"/><Relationship Id="rId14" Type="http://schemas.openxmlformats.org/officeDocument/2006/relationships/hyperlink" Target="http://manuals.sp.chfs.ky.gov/chapter21/Pages/214ReferraltoSpouseAbuseCenter.aspx" TargetMode="External"/><Relationship Id="rId22" Type="http://schemas.openxmlformats.org/officeDocument/2006/relationships/hyperlink" Target="http://personnel.ky.gov/NR/rdonlyres/1506DA66-D5B2-4172-ABBE-94643C6389DC/0/6522.doc" TargetMode="External"/><Relationship Id="rId27" Type="http://schemas.openxmlformats.org/officeDocument/2006/relationships/hyperlink" Target="http://personnel.ky.gov/NR/rdonlyres/01C9D715-114C-44D3-8F65-BFDC656CA010/0/6283.doc" TargetMode="External"/><Relationship Id="rId30" Type="http://schemas.openxmlformats.org/officeDocument/2006/relationships/hyperlink" Target="mailto:Gretchen.Marshall@ky.gov" TargetMode="External"/><Relationship Id="rId35" Type="http://schemas.openxmlformats.org/officeDocument/2006/relationships/customXml" Target="../customXml/item1.xml"/><Relationship Id="rId8" Type="http://schemas.openxmlformats.org/officeDocument/2006/relationships/hyperlink" Target="http://manuals.sp.chfs.ky.gov/Resources/Related%20Resources%20Library/Visitation%20Between%20Caseworker%20and%20Parents%20Tip%20Sheet.doc"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4E95AC3B91D24F92B00A84826132DC" ma:contentTypeVersion="2" ma:contentTypeDescription="Create a new document." ma:contentTypeScope="" ma:versionID="e0346eefbc074f6e2739f00081407355">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873753032221f58caa2d213f149a9f5b"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42A950-3BA7-49D7-9BA6-A6BCE0527CCB}"/>
</file>

<file path=customXml/itemProps2.xml><?xml version="1.0" encoding="utf-8"?>
<ds:datastoreItem xmlns:ds="http://schemas.openxmlformats.org/officeDocument/2006/customXml" ds:itemID="{03D36928-1869-48CB-A063-16B9966648B4}"/>
</file>

<file path=customXml/itemProps3.xml><?xml version="1.0" encoding="utf-8"?>
<ds:datastoreItem xmlns:ds="http://schemas.openxmlformats.org/officeDocument/2006/customXml" ds:itemID="{E2805C3D-08FF-4DCC-86B6-8EA7FEA0B1C9}"/>
</file>

<file path=docProps/app.xml><?xml version="1.0" encoding="utf-8"?>
<Properties xmlns="http://schemas.openxmlformats.org/officeDocument/2006/extended-properties" xmlns:vt="http://schemas.openxmlformats.org/officeDocument/2006/docPropsVTypes">
  <Template>Normal</Template>
  <TotalTime>1547</TotalTime>
  <Pages>8</Pages>
  <Words>3694</Words>
  <Characters>21056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24701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Gretchen.Marshall</dc:creator>
  <cp:keywords/>
  <dc:description/>
  <cp:lastModifiedBy>gretchen.marshall</cp:lastModifiedBy>
  <cp:revision>25</cp:revision>
  <dcterms:created xsi:type="dcterms:W3CDTF">2011-05-12T02:14:00Z</dcterms:created>
  <dcterms:modified xsi:type="dcterms:W3CDTF">2011-06-27T19:16:00Z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0x010100654E95AC3B91D24F92B00A84826132DC</vt:lpwstr>
  </property>
</Properties>
</file>