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9A37" w14:textId="77777777" w:rsidR="00EF2BE5" w:rsidRDefault="00EF2BE5" w:rsidP="00FA1E2B">
      <w:pPr>
        <w:pStyle w:val="NoSpacing"/>
        <w:jc w:val="center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How to Complete a</w:t>
      </w:r>
    </w:p>
    <w:p w14:paraId="6F93101D" w14:textId="77777777" w:rsidR="00FD7DB5" w:rsidRDefault="00FA1E2B" w:rsidP="00FA1E2B">
      <w:pPr>
        <w:pStyle w:val="NoSpacing"/>
        <w:jc w:val="center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Significant Change</w:t>
      </w:r>
    </w:p>
    <w:p w14:paraId="77DE0F8F" w14:textId="77777777" w:rsidR="00FA1E2B" w:rsidRDefault="00FA1E2B" w:rsidP="00FA1E2B">
      <w:pPr>
        <w:pStyle w:val="NoSpacing"/>
        <w:rPr>
          <w:rFonts w:ascii="Tahoma" w:hAnsi="Tahoma" w:cs="Tahoma"/>
          <w:sz w:val="44"/>
          <w:szCs w:val="44"/>
        </w:rPr>
      </w:pPr>
    </w:p>
    <w:p w14:paraId="1D07D7DD" w14:textId="77777777" w:rsidR="00FA1E2B" w:rsidRDefault="00FA1E2B" w:rsidP="00FA1E2B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PRO has just completed your annual LOC reassessment and provided you with a list of individuals that should have had a significant change.  How should you proceed?</w:t>
      </w:r>
    </w:p>
    <w:p w14:paraId="50F0F6F3" w14:textId="77777777" w:rsidR="007730C8" w:rsidRDefault="007730C8" w:rsidP="00FA1E2B">
      <w:pPr>
        <w:pStyle w:val="NoSpacing"/>
        <w:rPr>
          <w:rFonts w:ascii="Tahoma" w:hAnsi="Tahoma" w:cs="Tahoma"/>
          <w:sz w:val="28"/>
          <w:szCs w:val="28"/>
        </w:rPr>
      </w:pPr>
    </w:p>
    <w:p w14:paraId="473EB4EC" w14:textId="77777777" w:rsidR="007730C8" w:rsidRDefault="007730C8" w:rsidP="00FA1E2B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Being directed to complete a significant change does NOT mean that the person will necessarily meet criteria for significant change and need an evaluation.</w:t>
      </w:r>
    </w:p>
    <w:p w14:paraId="4BAFAA1C" w14:textId="77777777" w:rsidR="00FA1E2B" w:rsidRDefault="00FA1E2B" w:rsidP="00FA1E2B">
      <w:pPr>
        <w:pStyle w:val="NoSpacing"/>
        <w:rPr>
          <w:rFonts w:ascii="Tahoma" w:hAnsi="Tahoma" w:cs="Tahoma"/>
          <w:sz w:val="28"/>
          <w:szCs w:val="28"/>
        </w:rPr>
      </w:pPr>
    </w:p>
    <w:p w14:paraId="2D1DCEFD" w14:textId="77777777" w:rsidR="00FA1E2B" w:rsidRDefault="00FA1E2B" w:rsidP="00FA1E2B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Significant Changes can be completed for two reasons:</w:t>
      </w:r>
    </w:p>
    <w:p w14:paraId="6B9A7914" w14:textId="77777777" w:rsidR="00FA1E2B" w:rsidRDefault="00FA1E2B" w:rsidP="00FA1E2B">
      <w:pPr>
        <w:pStyle w:val="NoSpacing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To document a change in the individual’s diagnosis or other care needs; or</w:t>
      </w:r>
    </w:p>
    <w:p w14:paraId="2023E4CF" w14:textId="77777777" w:rsidR="00FA1E2B" w:rsidRDefault="00FA1E2B" w:rsidP="00FA1E2B">
      <w:pPr>
        <w:pStyle w:val="NoSpacing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To request a review of new information to see if the individual now meets PASRR criteria</w:t>
      </w:r>
      <w:r w:rsidR="006A6FF7">
        <w:rPr>
          <w:rFonts w:ascii="Tahoma" w:hAnsi="Tahoma" w:cs="Tahoma"/>
          <w:sz w:val="28"/>
          <w:szCs w:val="28"/>
        </w:rPr>
        <w:t xml:space="preserve">, </w:t>
      </w:r>
      <w:r w:rsidR="0096624E">
        <w:rPr>
          <w:rFonts w:ascii="Tahoma" w:hAnsi="Tahoma" w:cs="Tahoma"/>
          <w:sz w:val="28"/>
          <w:szCs w:val="28"/>
        </w:rPr>
        <w:t xml:space="preserve">a current PASRR individuals </w:t>
      </w:r>
      <w:r w:rsidR="00956CF8">
        <w:rPr>
          <w:rFonts w:ascii="Tahoma" w:hAnsi="Tahoma" w:cs="Tahoma"/>
          <w:sz w:val="28"/>
          <w:szCs w:val="28"/>
        </w:rPr>
        <w:t xml:space="preserve">needs </w:t>
      </w:r>
      <w:r w:rsidR="006A6FF7">
        <w:rPr>
          <w:rFonts w:ascii="Tahoma" w:hAnsi="Tahoma" w:cs="Tahoma"/>
          <w:sz w:val="28"/>
          <w:szCs w:val="28"/>
        </w:rPr>
        <w:t>a change in specialized services or level of care</w:t>
      </w:r>
      <w:r>
        <w:rPr>
          <w:rFonts w:ascii="Tahoma" w:hAnsi="Tahoma" w:cs="Tahoma"/>
          <w:sz w:val="28"/>
          <w:szCs w:val="28"/>
        </w:rPr>
        <w:t>.</w:t>
      </w:r>
    </w:p>
    <w:p w14:paraId="1C0DAC72" w14:textId="77777777" w:rsidR="00FA1E2B" w:rsidRDefault="00FA1E2B" w:rsidP="00FA1E2B">
      <w:pPr>
        <w:pStyle w:val="NoSpacing"/>
        <w:rPr>
          <w:rFonts w:ascii="Tahoma" w:hAnsi="Tahoma" w:cs="Tahoma"/>
          <w:sz w:val="28"/>
          <w:szCs w:val="28"/>
        </w:rPr>
      </w:pPr>
    </w:p>
    <w:p w14:paraId="539D63AF" w14:textId="77777777" w:rsidR="00FA1E2B" w:rsidRDefault="00FA1E2B" w:rsidP="00FA1E2B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How do you know which one it is?</w:t>
      </w:r>
    </w:p>
    <w:p w14:paraId="58061B59" w14:textId="77777777" w:rsidR="00FA1E2B" w:rsidRDefault="00FA1E2B" w:rsidP="00FA1E2B">
      <w:pPr>
        <w:pStyle w:val="NoSpacing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Take each question on the significant change screen and ask yourself if all parts of the question are met with the information you have.</w:t>
      </w:r>
    </w:p>
    <w:p w14:paraId="7D53F8F3" w14:textId="77777777" w:rsidR="00865B11" w:rsidRDefault="00865B11" w:rsidP="00FA1E2B">
      <w:pPr>
        <w:pStyle w:val="NoSpacing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The first 3 categories </w:t>
      </w:r>
      <w:r w:rsidR="00956CF8">
        <w:rPr>
          <w:rFonts w:ascii="Tahoma" w:hAnsi="Tahoma" w:cs="Tahoma"/>
          <w:sz w:val="28"/>
          <w:szCs w:val="28"/>
        </w:rPr>
        <w:t xml:space="preserve">in section 1 </w:t>
      </w:r>
      <w:r>
        <w:rPr>
          <w:rFonts w:ascii="Tahoma" w:hAnsi="Tahoma" w:cs="Tahoma"/>
          <w:sz w:val="28"/>
          <w:szCs w:val="28"/>
        </w:rPr>
        <w:t>are for individuals that are not currently identified as PASRR but need to be evaluate</w:t>
      </w:r>
      <w:r w:rsidR="00956CF8">
        <w:rPr>
          <w:rFonts w:ascii="Tahoma" w:hAnsi="Tahoma" w:cs="Tahoma"/>
          <w:sz w:val="28"/>
          <w:szCs w:val="28"/>
        </w:rPr>
        <w:t>d to determine if they meet PASRR</w:t>
      </w:r>
      <w:r>
        <w:rPr>
          <w:rFonts w:ascii="Tahoma" w:hAnsi="Tahoma" w:cs="Tahoma"/>
          <w:sz w:val="28"/>
          <w:szCs w:val="28"/>
        </w:rPr>
        <w:t xml:space="preserve"> criteria.</w:t>
      </w:r>
    </w:p>
    <w:p w14:paraId="19827765" w14:textId="77777777" w:rsidR="007730C8" w:rsidRDefault="007730C8" w:rsidP="007730C8">
      <w:pPr>
        <w:pStyle w:val="NoSpacing"/>
        <w:rPr>
          <w:rFonts w:ascii="Tahoma" w:hAnsi="Tahoma" w:cs="Tahoma"/>
          <w:sz w:val="28"/>
          <w:szCs w:val="28"/>
        </w:rPr>
      </w:pPr>
    </w:p>
    <w:p w14:paraId="3D2B0D92" w14:textId="77777777" w:rsidR="007730C8" w:rsidRDefault="007730C8" w:rsidP="007730C8">
      <w:pPr>
        <w:pStyle w:val="NoSpacing"/>
        <w:rPr>
          <w:rFonts w:ascii="Tahoma" w:hAnsi="Tahoma" w:cs="Tahoma"/>
          <w:sz w:val="28"/>
          <w:szCs w:val="28"/>
        </w:rPr>
      </w:pPr>
    </w:p>
    <w:p w14:paraId="37B47680" w14:textId="77777777" w:rsidR="008E3B7E" w:rsidRDefault="006A6FF7" w:rsidP="006A6FF7">
      <w:pPr>
        <w:pStyle w:val="NoSpacing"/>
        <w:ind w:left="360"/>
        <w:rPr>
          <w:rFonts w:ascii="Tahoma" w:hAnsi="Tahoma" w:cs="Tahom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46113CF" wp14:editId="6B419808">
            <wp:extent cx="4495800" cy="4276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2EBE3" w14:textId="77777777" w:rsidR="008E3B7E" w:rsidRDefault="008E3B7E" w:rsidP="006A6FF7">
      <w:pPr>
        <w:pStyle w:val="NoSpacing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Significant Change example below:</w:t>
      </w:r>
    </w:p>
    <w:p w14:paraId="39901FB5" w14:textId="77777777" w:rsidR="008E3B7E" w:rsidRDefault="008E3B7E" w:rsidP="006A6FF7">
      <w:pPr>
        <w:pStyle w:val="NoSpacing"/>
        <w:ind w:left="360"/>
        <w:rPr>
          <w:rFonts w:ascii="Tahoma" w:hAnsi="Tahoma" w:cs="Tahoma"/>
          <w:sz w:val="28"/>
          <w:szCs w:val="28"/>
        </w:rPr>
      </w:pPr>
    </w:p>
    <w:p w14:paraId="691D3E17" w14:textId="77777777" w:rsidR="006A6FF7" w:rsidRDefault="008E3B7E" w:rsidP="006A6FF7">
      <w:pPr>
        <w:pStyle w:val="NoSpacing"/>
        <w:ind w:left="360"/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inline distT="0" distB="0" distL="0" distR="0" wp14:anchorId="4E724EB6" wp14:editId="124273DD">
            <wp:extent cx="5114925" cy="226049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3765" cy="226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3E24E" w14:textId="77777777" w:rsidR="008E3B7E" w:rsidRDefault="008E3B7E" w:rsidP="006A6FF7">
      <w:pPr>
        <w:pStyle w:val="NoSpacing"/>
        <w:ind w:left="360"/>
        <w:rPr>
          <w:rFonts w:ascii="Tahoma" w:hAnsi="Tahoma" w:cs="Tahoma"/>
          <w:sz w:val="28"/>
          <w:szCs w:val="28"/>
        </w:rPr>
      </w:pPr>
    </w:p>
    <w:p w14:paraId="3E6D9E08" w14:textId="77777777" w:rsidR="008E3B7E" w:rsidRDefault="00DF091C" w:rsidP="006A6FF7">
      <w:pPr>
        <w:pStyle w:val="NoSpacing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</w:t>
      </w:r>
      <w:r w:rsidR="008E3B7E">
        <w:rPr>
          <w:rFonts w:ascii="Tahoma" w:hAnsi="Tahoma" w:cs="Tahoma"/>
          <w:sz w:val="28"/>
          <w:szCs w:val="28"/>
        </w:rPr>
        <w:t xml:space="preserve">his referral does not meet </w:t>
      </w:r>
      <w:r>
        <w:rPr>
          <w:rFonts w:ascii="Tahoma" w:hAnsi="Tahoma" w:cs="Tahoma"/>
          <w:sz w:val="28"/>
          <w:szCs w:val="28"/>
        </w:rPr>
        <w:t xml:space="preserve">significant change </w:t>
      </w:r>
      <w:r w:rsidR="008E3B7E">
        <w:rPr>
          <w:rFonts w:ascii="Tahoma" w:hAnsi="Tahoma" w:cs="Tahoma"/>
          <w:sz w:val="28"/>
          <w:szCs w:val="28"/>
        </w:rPr>
        <w:t>criteria</w:t>
      </w:r>
      <w:r>
        <w:rPr>
          <w:rFonts w:ascii="Tahoma" w:hAnsi="Tahoma" w:cs="Tahoma"/>
          <w:sz w:val="28"/>
          <w:szCs w:val="28"/>
        </w:rPr>
        <w:t xml:space="preserve"> because</w:t>
      </w:r>
      <w:r w:rsidR="008E3B7E">
        <w:rPr>
          <w:rFonts w:ascii="Tahoma" w:hAnsi="Tahoma" w:cs="Tahoma"/>
          <w:sz w:val="28"/>
          <w:szCs w:val="28"/>
        </w:rPr>
        <w:t xml:space="preserve"> there is no psychiatric hospitalization related to the diagnosis.</w:t>
      </w:r>
    </w:p>
    <w:p w14:paraId="0E546EA1" w14:textId="77777777" w:rsidR="008E3B7E" w:rsidRDefault="008E3B7E" w:rsidP="006A6FF7">
      <w:pPr>
        <w:pStyle w:val="NoSpacing"/>
        <w:ind w:left="360"/>
        <w:rPr>
          <w:rFonts w:ascii="Tahoma" w:hAnsi="Tahoma" w:cs="Tahoma"/>
          <w:sz w:val="28"/>
          <w:szCs w:val="28"/>
        </w:rPr>
      </w:pPr>
    </w:p>
    <w:p w14:paraId="5824C22C" w14:textId="77777777" w:rsidR="008E3B7E" w:rsidRDefault="008E3B7E" w:rsidP="006A6FF7">
      <w:pPr>
        <w:pStyle w:val="NoSpacing"/>
        <w:ind w:left="360"/>
        <w:rPr>
          <w:rFonts w:ascii="Tahoma" w:hAnsi="Tahoma" w:cs="Tahoma"/>
          <w:sz w:val="28"/>
          <w:szCs w:val="28"/>
        </w:rPr>
      </w:pPr>
    </w:p>
    <w:p w14:paraId="1539E7DB" w14:textId="77777777" w:rsidR="006A6FF7" w:rsidRDefault="006A6FF7" w:rsidP="006A6FF7">
      <w:pPr>
        <w:pStyle w:val="NoSpacing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For Severe Mental Illness you must meet all 3 criteria to check the box:</w:t>
      </w:r>
    </w:p>
    <w:p w14:paraId="6980762D" w14:textId="77777777" w:rsidR="006A6FF7" w:rsidRDefault="006A6FF7" w:rsidP="006A6FF7">
      <w:pPr>
        <w:pStyle w:val="NoSpacing"/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 new mental health diagnosis; and</w:t>
      </w:r>
    </w:p>
    <w:p w14:paraId="00429057" w14:textId="77777777" w:rsidR="006A6FF7" w:rsidRDefault="006A6FF7" w:rsidP="006A6FF7">
      <w:pPr>
        <w:pStyle w:val="NoSpacing"/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That diagnosis affects at least one of the following: interpersonal functioning; concentration, persistence and pace; or adaption to change; and</w:t>
      </w:r>
    </w:p>
    <w:p w14:paraId="14A813FA" w14:textId="77777777" w:rsidR="006A6FF7" w:rsidRDefault="006A6FF7" w:rsidP="006A6FF7">
      <w:pPr>
        <w:pStyle w:val="NoSpacing"/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Due to the diagnosis and related impairment required intensive psychiatric treatment (inpatient) or a significant disruption to their normal living situation.</w:t>
      </w:r>
    </w:p>
    <w:p w14:paraId="0F132468" w14:textId="77777777" w:rsidR="006A6FF7" w:rsidRDefault="006A6FF7" w:rsidP="006A6FF7">
      <w:pPr>
        <w:pStyle w:val="NoSpacing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If the person doesn’</w:t>
      </w:r>
      <w:r w:rsidR="00956CF8">
        <w:rPr>
          <w:rFonts w:ascii="Tahoma" w:hAnsi="Tahoma" w:cs="Tahoma"/>
          <w:sz w:val="28"/>
          <w:szCs w:val="28"/>
        </w:rPr>
        <w:t>t meet all 3 then don’t check the box</w:t>
      </w:r>
      <w:r>
        <w:rPr>
          <w:rFonts w:ascii="Tahoma" w:hAnsi="Tahoma" w:cs="Tahoma"/>
          <w:sz w:val="28"/>
          <w:szCs w:val="28"/>
        </w:rPr>
        <w:t>.</w:t>
      </w:r>
    </w:p>
    <w:p w14:paraId="6C686FAB" w14:textId="77777777" w:rsidR="007730C8" w:rsidRDefault="007730C8" w:rsidP="006A6FF7">
      <w:pPr>
        <w:pStyle w:val="NoSpacing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Here is an example of one that would NOT meet criteria for a significant change:</w:t>
      </w:r>
    </w:p>
    <w:p w14:paraId="7D90E6DD" w14:textId="77777777" w:rsidR="007730C8" w:rsidRDefault="007730C8" w:rsidP="007730C8">
      <w:pPr>
        <w:pStyle w:val="NoSpacing"/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</w:p>
    <w:p w14:paraId="3AF5A658" w14:textId="77777777" w:rsidR="00F34264" w:rsidRDefault="00F34264" w:rsidP="00F34264">
      <w:pPr>
        <w:pStyle w:val="NoSpacing"/>
        <w:rPr>
          <w:rFonts w:ascii="Tahoma" w:hAnsi="Tahoma" w:cs="Tahoma"/>
          <w:sz w:val="28"/>
          <w:szCs w:val="28"/>
        </w:rPr>
      </w:pPr>
    </w:p>
    <w:p w14:paraId="7CFB53C2" w14:textId="77777777" w:rsidR="006A6FF7" w:rsidRDefault="006A6FF7" w:rsidP="006A6FF7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inline distT="0" distB="0" distL="0" distR="0" wp14:anchorId="1A638D4D" wp14:editId="7830764C">
            <wp:extent cx="4533900" cy="1571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938DB" w14:textId="77777777" w:rsidR="00F34264" w:rsidRDefault="00F34264" w:rsidP="00F34264">
      <w:pPr>
        <w:pStyle w:val="NoSpacing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For Intellectual Disability you must have a newly found diagnosis of ID or a newly va</w:t>
      </w:r>
      <w:r w:rsidR="00956CF8">
        <w:rPr>
          <w:rFonts w:ascii="Tahoma" w:hAnsi="Tahoma" w:cs="Tahoma"/>
          <w:sz w:val="28"/>
          <w:szCs w:val="28"/>
        </w:rPr>
        <w:t>lidated diagnosis of ID and the individual has</w:t>
      </w:r>
      <w:r>
        <w:rPr>
          <w:rFonts w:ascii="Tahoma" w:hAnsi="Tahoma" w:cs="Tahoma"/>
          <w:sz w:val="28"/>
          <w:szCs w:val="28"/>
        </w:rPr>
        <w:t xml:space="preserve"> deficits in both intellectual functioning and adaptive functioni</w:t>
      </w:r>
      <w:r w:rsidR="00956CF8">
        <w:rPr>
          <w:rFonts w:ascii="Tahoma" w:hAnsi="Tahoma" w:cs="Tahoma"/>
          <w:sz w:val="28"/>
          <w:szCs w:val="28"/>
        </w:rPr>
        <w:t>ng.</w:t>
      </w:r>
    </w:p>
    <w:p w14:paraId="5296FB4E" w14:textId="77777777" w:rsidR="00F34264" w:rsidRDefault="00956CF8" w:rsidP="00F34264">
      <w:pPr>
        <w:pStyle w:val="NoSpacing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If the person doesn’t meet this criteria then don’t check the box</w:t>
      </w:r>
      <w:r w:rsidR="00F34264">
        <w:rPr>
          <w:rFonts w:ascii="Tahoma" w:hAnsi="Tahoma" w:cs="Tahoma"/>
          <w:sz w:val="28"/>
          <w:szCs w:val="28"/>
        </w:rPr>
        <w:t>.</w:t>
      </w:r>
    </w:p>
    <w:p w14:paraId="0533BFB3" w14:textId="77777777" w:rsidR="00F34264" w:rsidRDefault="00F34264" w:rsidP="00F34264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p w14:paraId="2D4DD9C5" w14:textId="77777777" w:rsidR="00F34264" w:rsidRDefault="00F34264" w:rsidP="00F34264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inline distT="0" distB="0" distL="0" distR="0" wp14:anchorId="76372BB4" wp14:editId="3D94A063">
            <wp:extent cx="4829175" cy="12001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826B2" w14:textId="77777777" w:rsidR="00956CF8" w:rsidRDefault="00F34264" w:rsidP="00845A26">
      <w:pPr>
        <w:pStyle w:val="NoSpacing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956CF8">
        <w:rPr>
          <w:rFonts w:ascii="Tahoma" w:hAnsi="Tahoma" w:cs="Tahoma"/>
          <w:sz w:val="28"/>
          <w:szCs w:val="28"/>
        </w:rPr>
        <w:t xml:space="preserve">For Related Condition you must have a newly found </w:t>
      </w:r>
      <w:r w:rsidR="00956CF8" w:rsidRPr="00956CF8">
        <w:rPr>
          <w:rFonts w:ascii="Tahoma" w:hAnsi="Tahoma" w:cs="Tahoma"/>
          <w:sz w:val="28"/>
          <w:szCs w:val="28"/>
        </w:rPr>
        <w:t xml:space="preserve">Related Condition </w:t>
      </w:r>
      <w:r w:rsidRPr="00956CF8">
        <w:rPr>
          <w:rFonts w:ascii="Tahoma" w:hAnsi="Tahoma" w:cs="Tahoma"/>
          <w:sz w:val="28"/>
          <w:szCs w:val="28"/>
        </w:rPr>
        <w:t xml:space="preserve">diagnosis or a newly validated </w:t>
      </w:r>
      <w:r w:rsidR="00956CF8" w:rsidRPr="00956CF8">
        <w:rPr>
          <w:rFonts w:ascii="Tahoma" w:hAnsi="Tahoma" w:cs="Tahoma"/>
          <w:sz w:val="28"/>
          <w:szCs w:val="28"/>
        </w:rPr>
        <w:t xml:space="preserve">Related Condition </w:t>
      </w:r>
      <w:r w:rsidRPr="00956CF8">
        <w:rPr>
          <w:rFonts w:ascii="Tahoma" w:hAnsi="Tahoma" w:cs="Tahoma"/>
          <w:sz w:val="28"/>
          <w:szCs w:val="28"/>
        </w:rPr>
        <w:t xml:space="preserve">diagnosis that meets the Related Condition criteria: substantial functional limitations similar to someone with ID in 3 or more of the following areas, self-care, understanding and use of language, learning, mobility, self-direction or capacity for independent living.  </w:t>
      </w:r>
    </w:p>
    <w:p w14:paraId="33E1431F" w14:textId="77777777" w:rsidR="00F34264" w:rsidRPr="00956CF8" w:rsidRDefault="00956CF8" w:rsidP="00845A26">
      <w:pPr>
        <w:pStyle w:val="NoSpacing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If the individual doesn’t meet this criteria then don’t check the box</w:t>
      </w:r>
      <w:r w:rsidR="00F34264" w:rsidRPr="00956CF8">
        <w:rPr>
          <w:rFonts w:ascii="Tahoma" w:hAnsi="Tahoma" w:cs="Tahoma"/>
          <w:sz w:val="28"/>
          <w:szCs w:val="28"/>
        </w:rPr>
        <w:t>.</w:t>
      </w:r>
    </w:p>
    <w:p w14:paraId="63D8C889" w14:textId="77777777" w:rsidR="00865B11" w:rsidRPr="006A6FF7" w:rsidRDefault="00865B11" w:rsidP="00865B11">
      <w:pPr>
        <w:pStyle w:val="NoSpacing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The next 4 categories are for individuals that are </w:t>
      </w:r>
      <w:r w:rsidRPr="007730C8">
        <w:rPr>
          <w:rFonts w:ascii="Tahoma" w:hAnsi="Tahoma" w:cs="Tahoma"/>
          <w:sz w:val="28"/>
          <w:szCs w:val="28"/>
          <w:u w:val="single"/>
        </w:rPr>
        <w:t>alr</w:t>
      </w:r>
      <w:r w:rsidR="00956CF8" w:rsidRPr="007730C8">
        <w:rPr>
          <w:rFonts w:ascii="Tahoma" w:hAnsi="Tahoma" w:cs="Tahoma"/>
          <w:sz w:val="28"/>
          <w:szCs w:val="28"/>
          <w:u w:val="single"/>
        </w:rPr>
        <w:t>eady identified as PASRR</w:t>
      </w:r>
      <w:r w:rsidR="00956CF8">
        <w:rPr>
          <w:rFonts w:ascii="Tahoma" w:hAnsi="Tahoma" w:cs="Tahoma"/>
          <w:sz w:val="28"/>
          <w:szCs w:val="28"/>
        </w:rPr>
        <w:t xml:space="preserve"> but have</w:t>
      </w:r>
      <w:r>
        <w:rPr>
          <w:rFonts w:ascii="Tahoma" w:hAnsi="Tahoma" w:cs="Tahoma"/>
          <w:sz w:val="28"/>
          <w:szCs w:val="28"/>
        </w:rPr>
        <w:t xml:space="preserve"> either had a significant improvement or </w:t>
      </w:r>
      <w:r w:rsidR="00956CF8">
        <w:rPr>
          <w:rFonts w:ascii="Tahoma" w:hAnsi="Tahoma" w:cs="Tahoma"/>
          <w:sz w:val="28"/>
          <w:szCs w:val="28"/>
        </w:rPr>
        <w:t xml:space="preserve">significant </w:t>
      </w:r>
      <w:r>
        <w:rPr>
          <w:rFonts w:ascii="Tahoma" w:hAnsi="Tahoma" w:cs="Tahoma"/>
          <w:sz w:val="28"/>
          <w:szCs w:val="28"/>
        </w:rPr>
        <w:t>decline in their medical condition that would affect their specialized services or their level of care.</w:t>
      </w:r>
    </w:p>
    <w:p w14:paraId="0E922C87" w14:textId="77777777" w:rsidR="00865B11" w:rsidRDefault="00865B11" w:rsidP="00865B11">
      <w:pPr>
        <w:pStyle w:val="NoSpacing"/>
        <w:ind w:left="360"/>
        <w:rPr>
          <w:rFonts w:ascii="Tahoma" w:hAnsi="Tahoma" w:cs="Tahoma"/>
          <w:sz w:val="28"/>
          <w:szCs w:val="28"/>
        </w:rPr>
      </w:pPr>
    </w:p>
    <w:p w14:paraId="18C2FB15" w14:textId="77777777" w:rsidR="00F34264" w:rsidRDefault="00865B11" w:rsidP="00F34264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inline distT="0" distB="0" distL="0" distR="0" wp14:anchorId="09D9C385" wp14:editId="022E78B9">
            <wp:extent cx="4810125" cy="10763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70569" w14:textId="77777777" w:rsidR="00865B11" w:rsidRDefault="00865B11" w:rsidP="00865B11">
      <w:pPr>
        <w:pStyle w:val="NoSpacing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If none of these apply then skip.</w:t>
      </w:r>
    </w:p>
    <w:p w14:paraId="73074A22" w14:textId="77777777" w:rsidR="00865B11" w:rsidRDefault="00865B11" w:rsidP="00865B11">
      <w:pPr>
        <w:pStyle w:val="NoSpacing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If you have marked any of the above boxes </w:t>
      </w:r>
      <w:r w:rsidR="00956CF8">
        <w:rPr>
          <w:rFonts w:ascii="Tahoma" w:hAnsi="Tahoma" w:cs="Tahoma"/>
          <w:sz w:val="28"/>
          <w:szCs w:val="28"/>
        </w:rPr>
        <w:t xml:space="preserve">(SMI, ID, RC or change in medical condition) </w:t>
      </w:r>
      <w:r>
        <w:rPr>
          <w:rFonts w:ascii="Tahoma" w:hAnsi="Tahoma" w:cs="Tahoma"/>
          <w:sz w:val="28"/>
          <w:szCs w:val="28"/>
        </w:rPr>
        <w:t>then please explain in detail the change and how it has affected the resident.</w:t>
      </w:r>
    </w:p>
    <w:p w14:paraId="79B3F502" w14:textId="77777777" w:rsidR="00865B11" w:rsidRDefault="00865B11" w:rsidP="00865B11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p w14:paraId="07CB34E8" w14:textId="77777777" w:rsidR="00865B11" w:rsidRDefault="00865B11" w:rsidP="00865B11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inline distT="0" distB="0" distL="0" distR="0" wp14:anchorId="4BD9F58C" wp14:editId="03ADD960">
            <wp:extent cx="4953000" cy="685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96068" w14:textId="77777777" w:rsidR="00865B11" w:rsidRDefault="00865B11" w:rsidP="00865B11">
      <w:pPr>
        <w:pStyle w:val="NoSpacing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If you have marked any of the above boxes </w:t>
      </w:r>
      <w:r w:rsidR="00956CF8">
        <w:rPr>
          <w:rFonts w:ascii="Tahoma" w:hAnsi="Tahoma" w:cs="Tahoma"/>
          <w:sz w:val="28"/>
          <w:szCs w:val="28"/>
        </w:rPr>
        <w:t xml:space="preserve">and provided an explanation </w:t>
      </w:r>
      <w:r>
        <w:rPr>
          <w:rFonts w:ascii="Tahoma" w:hAnsi="Tahoma" w:cs="Tahoma"/>
          <w:sz w:val="28"/>
          <w:szCs w:val="28"/>
        </w:rPr>
        <w:t>then you will mark “Yes” in the section below (section 2).</w:t>
      </w:r>
    </w:p>
    <w:p w14:paraId="77B42B21" w14:textId="77777777" w:rsidR="00865B11" w:rsidRDefault="00865B11" w:rsidP="00865B11">
      <w:pPr>
        <w:pStyle w:val="NoSpacing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If you haven’t marked any of the above boxes then you will mark “No” in the section below (section 2).  If you mark “No” please describe the change </w:t>
      </w:r>
      <w:r w:rsidR="00956CF8">
        <w:rPr>
          <w:rFonts w:ascii="Tahoma" w:hAnsi="Tahoma" w:cs="Tahoma"/>
          <w:sz w:val="28"/>
          <w:szCs w:val="28"/>
        </w:rPr>
        <w:t xml:space="preserve">and why it doesn’t meet PASRR referral criteria </w:t>
      </w:r>
      <w:r>
        <w:rPr>
          <w:rFonts w:ascii="Tahoma" w:hAnsi="Tahoma" w:cs="Tahoma"/>
          <w:sz w:val="28"/>
          <w:szCs w:val="28"/>
        </w:rPr>
        <w:t>in the box provided.</w:t>
      </w:r>
    </w:p>
    <w:p w14:paraId="55E7776A" w14:textId="77777777" w:rsidR="00865B11" w:rsidRDefault="00865B11" w:rsidP="00865B11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p w14:paraId="2BDD030A" w14:textId="77777777" w:rsidR="00865B11" w:rsidRDefault="009D0698" w:rsidP="00865B11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inline distT="0" distB="0" distL="0" distR="0" wp14:anchorId="3F78F65E" wp14:editId="1E903A5C">
            <wp:extent cx="5810250" cy="1485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A4ED4" w14:textId="77777777" w:rsidR="00C656F1" w:rsidRDefault="00C656F1" w:rsidP="00865B11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p w14:paraId="643EFDB2" w14:textId="77777777" w:rsidR="00C656F1" w:rsidRDefault="00C656F1" w:rsidP="00865B11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p w14:paraId="5F9777F8" w14:textId="77777777" w:rsidR="00C656F1" w:rsidRPr="00865B11" w:rsidRDefault="00C656F1" w:rsidP="00865B11">
      <w:pPr>
        <w:pStyle w:val="NoSpacing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If you have questions please reach out to your local CMHC that completes PASRR evaluations for your facility</w:t>
      </w:r>
      <w:r w:rsidR="009328E9">
        <w:rPr>
          <w:rFonts w:ascii="Tahoma" w:hAnsi="Tahoma" w:cs="Tahoma"/>
          <w:sz w:val="28"/>
          <w:szCs w:val="28"/>
        </w:rPr>
        <w:t>.</w:t>
      </w:r>
    </w:p>
    <w:p w14:paraId="50E24AEC" w14:textId="77777777" w:rsidR="00865B11" w:rsidRDefault="00865B11" w:rsidP="00865B11">
      <w:pPr>
        <w:pStyle w:val="NoSpacing"/>
        <w:ind w:left="720"/>
        <w:rPr>
          <w:rFonts w:ascii="Tahoma" w:hAnsi="Tahoma" w:cs="Tahoma"/>
          <w:sz w:val="28"/>
          <w:szCs w:val="28"/>
        </w:rPr>
      </w:pPr>
    </w:p>
    <w:sectPr w:rsidR="00865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643E4"/>
    <w:multiLevelType w:val="hybridMultilevel"/>
    <w:tmpl w:val="6E5C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E65C0"/>
    <w:multiLevelType w:val="hybridMultilevel"/>
    <w:tmpl w:val="8040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219115">
    <w:abstractNumId w:val="0"/>
  </w:num>
  <w:num w:numId="2" w16cid:durableId="1253121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2B"/>
    <w:rsid w:val="001F7AA3"/>
    <w:rsid w:val="00453687"/>
    <w:rsid w:val="004E69BC"/>
    <w:rsid w:val="006A6FF7"/>
    <w:rsid w:val="007730C8"/>
    <w:rsid w:val="00865B11"/>
    <w:rsid w:val="008E3B7E"/>
    <w:rsid w:val="009328E9"/>
    <w:rsid w:val="00956CF8"/>
    <w:rsid w:val="0096624E"/>
    <w:rsid w:val="009D0698"/>
    <w:rsid w:val="00C656F1"/>
    <w:rsid w:val="00CA0C83"/>
    <w:rsid w:val="00DF091C"/>
    <w:rsid w:val="00EF2BE5"/>
    <w:rsid w:val="00F34264"/>
    <w:rsid w:val="00FA1E2B"/>
    <w:rsid w:val="00FD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9546A"/>
  <w15:chartTrackingRefBased/>
  <w15:docId w15:val="{5DC03592-BDE2-46EB-BEBA-0FEC1E2C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1E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B4788CF61CA47AE8B630F3769C4F4" ma:contentTypeVersion="2" ma:contentTypeDescription="Create a new document." ma:contentTypeScope="" ma:versionID="88cc78a5c00d50775e59fecd49c73596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e0c0862e3a23397a0aa8200bd5e0d807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340483-AF18-4A2D-B17F-761A093CA021}"/>
</file>

<file path=customXml/itemProps2.xml><?xml version="1.0" encoding="utf-8"?>
<ds:datastoreItem xmlns:ds="http://schemas.openxmlformats.org/officeDocument/2006/customXml" ds:itemID="{75786600-2589-47CD-A2D2-2DD5AA0FF5AE}"/>
</file>

<file path=customXml/itemProps3.xml><?xml version="1.0" encoding="utf-8"?>
<ds:datastoreItem xmlns:ds="http://schemas.openxmlformats.org/officeDocument/2006/customXml" ds:itemID="{580E36DF-B9A2-4EAC-95A7-45FCAC6C85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Complete a Significant Change Form</dc:title>
  <dc:subject/>
  <dc:creator>Schwartz, Melissa (BHDID/Frankfort)</dc:creator>
  <cp:keywords/>
  <dc:description/>
  <cp:lastModifiedBy>Heydon, Sara K (BHDID/Frankfort)</cp:lastModifiedBy>
  <cp:revision>2</cp:revision>
  <dcterms:created xsi:type="dcterms:W3CDTF">2025-11-05T18:15:00Z</dcterms:created>
  <dcterms:modified xsi:type="dcterms:W3CDTF">2025-11-05T18:15:00Z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0x0101003BAB4788CF61CA47AE8B630F3769C4F4</vt:lpwstr>
  </property>
</Properties>
</file>